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B784D" w14:textId="47E3C123" w:rsidR="00ED7E8B" w:rsidRDefault="00ED7E8B" w:rsidP="00ED7E8B">
      <w:pPr>
        <w:pStyle w:val="Titre"/>
      </w:pPr>
      <w:bookmarkStart w:id="0" w:name="_GoBack"/>
      <w:bookmarkEnd w:id="0"/>
      <w:r w:rsidRPr="00933533">
        <w:t>QUESTIONS/REPONSES</w:t>
      </w:r>
      <w:r w:rsidR="007148F4">
        <w:t xml:space="preserve"> SUR LE DISPOSITIF DE CAA</w:t>
      </w:r>
    </w:p>
    <w:p w14:paraId="36731CEE" w14:textId="77777777" w:rsidR="00933533" w:rsidRDefault="00933533" w:rsidP="00ED7E8B">
      <w:pPr>
        <w:pStyle w:val="Titre"/>
        <w:rPr>
          <w:b w:val="0"/>
        </w:rPr>
      </w:pPr>
    </w:p>
    <w:p w14:paraId="4FCA86BB" w14:textId="77777777" w:rsidR="00293522" w:rsidRDefault="00293522" w:rsidP="00ED7E8B">
      <w:pPr>
        <w:pStyle w:val="Titre"/>
      </w:pPr>
    </w:p>
    <w:p w14:paraId="279F8A2E" w14:textId="77777777" w:rsidR="00293522" w:rsidRDefault="00293522" w:rsidP="00ED7E8B">
      <w:pPr>
        <w:pStyle w:val="Titre"/>
      </w:pPr>
    </w:p>
    <w:p w14:paraId="2E84BCD0" w14:textId="77777777" w:rsidR="00ED7E8B" w:rsidRDefault="00ED7E8B" w:rsidP="00ED7E8B">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0348"/>
      </w:tblGrid>
      <w:tr w:rsidR="008F4746" w14:paraId="479711CD" w14:textId="70742F2D" w:rsidTr="00DA295B">
        <w:tc>
          <w:tcPr>
            <w:tcW w:w="3114" w:type="dxa"/>
            <w:tcBorders>
              <w:top w:val="single" w:sz="4" w:space="0" w:color="auto"/>
              <w:left w:val="single" w:sz="4" w:space="0" w:color="auto"/>
              <w:bottom w:val="single" w:sz="4" w:space="0" w:color="auto"/>
              <w:right w:val="single" w:sz="4" w:space="0" w:color="auto"/>
            </w:tcBorders>
            <w:hideMark/>
          </w:tcPr>
          <w:p w14:paraId="354C3095" w14:textId="77777777" w:rsidR="008F4746" w:rsidRDefault="008F4746" w:rsidP="001D1D00">
            <w:pPr>
              <w:rPr>
                <w:b/>
                <w:sz w:val="24"/>
              </w:rPr>
            </w:pPr>
            <w:r>
              <w:rPr>
                <w:b/>
                <w:sz w:val="24"/>
              </w:rPr>
              <w:t>QUESTION</w:t>
            </w:r>
          </w:p>
          <w:p w14:paraId="46F0A6BC" w14:textId="77777777" w:rsidR="008F4746" w:rsidRDefault="008F4746" w:rsidP="001D1D00">
            <w:pPr>
              <w:rPr>
                <w:b/>
                <w:sz w:val="24"/>
              </w:rPr>
            </w:pPr>
          </w:p>
        </w:tc>
        <w:tc>
          <w:tcPr>
            <w:tcW w:w="10348" w:type="dxa"/>
            <w:tcBorders>
              <w:top w:val="single" w:sz="4" w:space="0" w:color="auto"/>
              <w:left w:val="single" w:sz="4" w:space="0" w:color="auto"/>
              <w:bottom w:val="single" w:sz="4" w:space="0" w:color="auto"/>
              <w:right w:val="single" w:sz="4" w:space="0" w:color="auto"/>
            </w:tcBorders>
            <w:hideMark/>
          </w:tcPr>
          <w:p w14:paraId="193955A3" w14:textId="77777777" w:rsidR="008F4746" w:rsidRDefault="008F4746" w:rsidP="001D1D00">
            <w:pPr>
              <w:rPr>
                <w:b/>
                <w:sz w:val="24"/>
              </w:rPr>
            </w:pPr>
            <w:r>
              <w:rPr>
                <w:b/>
                <w:sz w:val="24"/>
              </w:rPr>
              <w:t>PROPOSITION DE REPONSE</w:t>
            </w:r>
          </w:p>
        </w:tc>
      </w:tr>
      <w:tr w:rsidR="008F4746" w14:paraId="6E96B2C0" w14:textId="2F54390B" w:rsidTr="00DA295B">
        <w:tc>
          <w:tcPr>
            <w:tcW w:w="3114" w:type="dxa"/>
            <w:tcBorders>
              <w:top w:val="single" w:sz="4" w:space="0" w:color="auto"/>
              <w:left w:val="single" w:sz="4" w:space="0" w:color="auto"/>
              <w:bottom w:val="single" w:sz="4" w:space="0" w:color="auto"/>
              <w:right w:val="single" w:sz="4" w:space="0" w:color="auto"/>
            </w:tcBorders>
          </w:tcPr>
          <w:p w14:paraId="0992B92C" w14:textId="77777777" w:rsidR="008F4746" w:rsidRDefault="008F4746" w:rsidP="001D1D00">
            <w:pPr>
              <w:rPr>
                <w:sz w:val="24"/>
              </w:rPr>
            </w:pPr>
            <w:r>
              <w:rPr>
                <w:sz w:val="24"/>
              </w:rPr>
              <w:t>A partir de quand peut-on s’inscrire dans le dispositif ?</w:t>
            </w:r>
          </w:p>
        </w:tc>
        <w:tc>
          <w:tcPr>
            <w:tcW w:w="10348" w:type="dxa"/>
            <w:tcBorders>
              <w:top w:val="single" w:sz="4" w:space="0" w:color="auto"/>
              <w:left w:val="single" w:sz="4" w:space="0" w:color="auto"/>
              <w:bottom w:val="single" w:sz="4" w:space="0" w:color="auto"/>
              <w:right w:val="single" w:sz="4" w:space="0" w:color="auto"/>
            </w:tcBorders>
          </w:tcPr>
          <w:p w14:paraId="5CD67C56" w14:textId="7F1A90D1" w:rsidR="008F4746" w:rsidRDefault="008F4746" w:rsidP="001D1D00">
            <w:pPr>
              <w:rPr>
                <w:i/>
                <w:sz w:val="24"/>
              </w:rPr>
            </w:pPr>
            <w:r>
              <w:rPr>
                <w:i/>
                <w:sz w:val="24"/>
              </w:rPr>
              <w:t>Les inscriptions sont ouvertes à compter du 1</w:t>
            </w:r>
            <w:r w:rsidR="00E4490F">
              <w:rPr>
                <w:i/>
                <w:sz w:val="24"/>
              </w:rPr>
              <w:t>4</w:t>
            </w:r>
            <w:r>
              <w:rPr>
                <w:i/>
                <w:sz w:val="24"/>
              </w:rPr>
              <w:t xml:space="preserve"> octobre 2019. Les premières entrées dans le dispositif seront effectives le 1</w:t>
            </w:r>
            <w:r w:rsidRPr="00EE402B">
              <w:rPr>
                <w:i/>
                <w:sz w:val="24"/>
                <w:vertAlign w:val="superscript"/>
              </w:rPr>
              <w:t>er</w:t>
            </w:r>
            <w:r>
              <w:rPr>
                <w:i/>
                <w:sz w:val="24"/>
              </w:rPr>
              <w:t xml:space="preserve"> janvier 2020.</w:t>
            </w:r>
          </w:p>
          <w:p w14:paraId="2B6CE7A7" w14:textId="2C536B84" w:rsidR="008F4746" w:rsidRDefault="008F4746" w:rsidP="001D1D00">
            <w:pPr>
              <w:rPr>
                <w:i/>
                <w:sz w:val="24"/>
              </w:rPr>
            </w:pPr>
            <w:r>
              <w:rPr>
                <w:i/>
                <w:sz w:val="24"/>
              </w:rPr>
              <w:t>Il est à noter que pour les inscriptions intervenant jusqu’au 30 novembre 2019</w:t>
            </w:r>
            <w:r w:rsidRPr="008F4746">
              <w:rPr>
                <w:i/>
                <w:sz w:val="24"/>
              </w:rPr>
              <w:t>,</w:t>
            </w:r>
            <w:r>
              <w:rPr>
                <w:i/>
                <w:sz w:val="24"/>
              </w:rPr>
              <w:t xml:space="preserve"> un dispositif transitoire a été mis en place (voir ci-dessous)</w:t>
            </w:r>
          </w:p>
          <w:p w14:paraId="0BFFC78A" w14:textId="0AB81E22" w:rsidR="008F4746" w:rsidRPr="008F4746" w:rsidRDefault="008F4746" w:rsidP="001D1D00">
            <w:pPr>
              <w:rPr>
                <w:i/>
                <w:color w:val="C00000"/>
                <w:sz w:val="24"/>
              </w:rPr>
            </w:pPr>
          </w:p>
        </w:tc>
      </w:tr>
      <w:tr w:rsidR="008F4746" w14:paraId="29CEFA51" w14:textId="034B4006" w:rsidTr="00DA295B">
        <w:tc>
          <w:tcPr>
            <w:tcW w:w="3114" w:type="dxa"/>
            <w:tcBorders>
              <w:top w:val="single" w:sz="4" w:space="0" w:color="auto"/>
              <w:left w:val="single" w:sz="4" w:space="0" w:color="auto"/>
              <w:bottom w:val="single" w:sz="4" w:space="0" w:color="auto"/>
              <w:right w:val="single" w:sz="4" w:space="0" w:color="auto"/>
            </w:tcBorders>
          </w:tcPr>
          <w:p w14:paraId="265463BE" w14:textId="77777777" w:rsidR="008F4746" w:rsidRDefault="008F4746" w:rsidP="001D1D00">
            <w:pPr>
              <w:rPr>
                <w:sz w:val="24"/>
              </w:rPr>
            </w:pPr>
            <w:r>
              <w:rPr>
                <w:sz w:val="24"/>
              </w:rPr>
              <w:t>Jusqu’à quand peut-on s’inscrire dans le dispositif</w:t>
            </w:r>
          </w:p>
        </w:tc>
        <w:tc>
          <w:tcPr>
            <w:tcW w:w="10348" w:type="dxa"/>
            <w:tcBorders>
              <w:top w:val="single" w:sz="4" w:space="0" w:color="auto"/>
              <w:left w:val="single" w:sz="4" w:space="0" w:color="auto"/>
              <w:bottom w:val="single" w:sz="4" w:space="0" w:color="auto"/>
              <w:right w:val="single" w:sz="4" w:space="0" w:color="auto"/>
            </w:tcBorders>
          </w:tcPr>
          <w:p w14:paraId="0E832A65" w14:textId="77777777" w:rsidR="008F4746" w:rsidRDefault="008F4746" w:rsidP="001D1D00">
            <w:pPr>
              <w:rPr>
                <w:i/>
                <w:sz w:val="24"/>
              </w:rPr>
            </w:pPr>
            <w:r>
              <w:rPr>
                <w:i/>
                <w:sz w:val="24"/>
              </w:rPr>
              <w:t>Il est possible de s’inscrire jusqu’au 31 octobre 2021. Les derniers bénéficiaires partiront à la retraite au plus tard le 31 décembre 2023.</w:t>
            </w:r>
          </w:p>
          <w:p w14:paraId="58FE2B46" w14:textId="77777777" w:rsidR="008F4746" w:rsidRDefault="008F4746" w:rsidP="001D1D00">
            <w:pPr>
              <w:rPr>
                <w:i/>
                <w:sz w:val="24"/>
              </w:rPr>
            </w:pPr>
          </w:p>
        </w:tc>
      </w:tr>
      <w:tr w:rsidR="008F4746" w14:paraId="759356E6" w14:textId="45F2819E" w:rsidTr="00DA295B">
        <w:tc>
          <w:tcPr>
            <w:tcW w:w="3114" w:type="dxa"/>
            <w:tcBorders>
              <w:top w:val="single" w:sz="4" w:space="0" w:color="auto"/>
              <w:left w:val="single" w:sz="4" w:space="0" w:color="auto"/>
              <w:bottom w:val="single" w:sz="4" w:space="0" w:color="auto"/>
              <w:right w:val="single" w:sz="4" w:space="0" w:color="auto"/>
            </w:tcBorders>
          </w:tcPr>
          <w:p w14:paraId="0465BFC2" w14:textId="77777777" w:rsidR="008F4746" w:rsidRDefault="008F4746" w:rsidP="001D1D00">
            <w:pPr>
              <w:rPr>
                <w:sz w:val="24"/>
              </w:rPr>
            </w:pPr>
            <w:r>
              <w:rPr>
                <w:sz w:val="24"/>
              </w:rPr>
              <w:t>Qui est concerné</w:t>
            </w:r>
          </w:p>
          <w:p w14:paraId="4E7A3025" w14:textId="77777777" w:rsidR="008F4746" w:rsidRDefault="008F4746" w:rsidP="001D1D00">
            <w:pPr>
              <w:rPr>
                <w:sz w:val="24"/>
              </w:rPr>
            </w:pPr>
            <w:r>
              <w:rPr>
                <w:sz w:val="24"/>
              </w:rPr>
              <w:t>Précisions sur les notions d’ancienneté</w:t>
            </w:r>
          </w:p>
          <w:p w14:paraId="4095DDE6" w14:textId="77777777" w:rsidR="008F4746" w:rsidRDefault="008F4746" w:rsidP="001D1D00">
            <w:pPr>
              <w:rPr>
                <w:sz w:val="24"/>
              </w:rPr>
            </w:pPr>
          </w:p>
        </w:tc>
        <w:tc>
          <w:tcPr>
            <w:tcW w:w="10348" w:type="dxa"/>
            <w:tcBorders>
              <w:top w:val="single" w:sz="4" w:space="0" w:color="auto"/>
              <w:left w:val="single" w:sz="4" w:space="0" w:color="auto"/>
              <w:bottom w:val="single" w:sz="4" w:space="0" w:color="auto"/>
              <w:right w:val="single" w:sz="4" w:space="0" w:color="auto"/>
            </w:tcBorders>
          </w:tcPr>
          <w:p w14:paraId="506E8DF4" w14:textId="3E5906AA" w:rsidR="008F4746" w:rsidRDefault="008F4746" w:rsidP="001D1D00">
            <w:pPr>
              <w:rPr>
                <w:i/>
                <w:sz w:val="24"/>
              </w:rPr>
            </w:pPr>
            <w:r>
              <w:rPr>
                <w:i/>
                <w:sz w:val="24"/>
              </w:rPr>
              <w:t xml:space="preserve">Le collaborateur </w:t>
            </w:r>
            <w:r w:rsidRPr="008F4746">
              <w:rPr>
                <w:i/>
                <w:sz w:val="24"/>
              </w:rPr>
              <w:t xml:space="preserve">doit avoir au moins 8 ans </w:t>
            </w:r>
            <w:r>
              <w:rPr>
                <w:i/>
                <w:sz w:val="24"/>
              </w:rPr>
              <w:t>d’ancienneté dans l’EP ou le groupe.</w:t>
            </w:r>
          </w:p>
          <w:p w14:paraId="3C48BBD5" w14:textId="77777777" w:rsidR="008F4746" w:rsidRDefault="008F4746" w:rsidP="001D1D00">
            <w:pPr>
              <w:rPr>
                <w:i/>
                <w:sz w:val="24"/>
              </w:rPr>
            </w:pPr>
            <w:r>
              <w:rPr>
                <w:i/>
                <w:sz w:val="24"/>
              </w:rPr>
              <w:t>Concernant les salariés sous convention collective, l’ancienneté doit être reprise dans le contrat de travail.</w:t>
            </w:r>
          </w:p>
          <w:p w14:paraId="4D5AAD53" w14:textId="26F86DAB" w:rsidR="008F4746" w:rsidRDefault="008F4746" w:rsidP="001D1D00">
            <w:pPr>
              <w:rPr>
                <w:i/>
                <w:sz w:val="24"/>
              </w:rPr>
            </w:pPr>
            <w:r>
              <w:rPr>
                <w:i/>
                <w:sz w:val="24"/>
              </w:rPr>
              <w:t>Pour un fonctionnaire, il s’agit de l’ancienneté au sein de la CDC et non pas dans la fonction publique.</w:t>
            </w:r>
          </w:p>
          <w:p w14:paraId="23940806" w14:textId="5FC4152B" w:rsidR="008F4746" w:rsidRDefault="008F4746" w:rsidP="001D1D00">
            <w:pPr>
              <w:rPr>
                <w:i/>
                <w:sz w:val="24"/>
              </w:rPr>
            </w:pPr>
            <w:r w:rsidRPr="00EA7A19">
              <w:rPr>
                <w:i/>
                <w:sz w:val="24"/>
              </w:rPr>
              <w:t xml:space="preserve">Concernant les personnels statutaires CANSSM, les années </w:t>
            </w:r>
            <w:r>
              <w:rPr>
                <w:i/>
                <w:sz w:val="24"/>
              </w:rPr>
              <w:t>effectuées</w:t>
            </w:r>
            <w:r w:rsidRPr="00EA7A19">
              <w:rPr>
                <w:i/>
                <w:sz w:val="24"/>
              </w:rPr>
              <w:t xml:space="preserve"> au sein de la CANSSM</w:t>
            </w:r>
            <w:r>
              <w:rPr>
                <w:i/>
                <w:sz w:val="24"/>
              </w:rPr>
              <w:t xml:space="preserve"> avant l’ordonnance 2005 -389</w:t>
            </w:r>
            <w:r w:rsidRPr="00EA7A19">
              <w:rPr>
                <w:i/>
                <w:sz w:val="24"/>
              </w:rPr>
              <w:t xml:space="preserve"> sont prises en compte.</w:t>
            </w:r>
          </w:p>
          <w:p w14:paraId="006D0E71" w14:textId="4C74568C" w:rsidR="008F4746" w:rsidRDefault="008F4746" w:rsidP="001D1D00">
            <w:pPr>
              <w:rPr>
                <w:i/>
                <w:sz w:val="24"/>
              </w:rPr>
            </w:pPr>
            <w:r>
              <w:rPr>
                <w:i/>
                <w:sz w:val="24"/>
              </w:rPr>
              <w:t>Pour les personnels contractuels de droit public, il s’agit de l’ancienneté au sein de la CDC.</w:t>
            </w:r>
          </w:p>
          <w:p w14:paraId="2AB825EA" w14:textId="77777777" w:rsidR="008F4746" w:rsidRDefault="008F4746" w:rsidP="001D1D00">
            <w:pPr>
              <w:rPr>
                <w:i/>
                <w:sz w:val="24"/>
              </w:rPr>
            </w:pPr>
          </w:p>
        </w:tc>
      </w:tr>
      <w:tr w:rsidR="008F4746" w14:paraId="4A5C1913" w14:textId="2C0B2965" w:rsidTr="00DA295B">
        <w:tc>
          <w:tcPr>
            <w:tcW w:w="3114" w:type="dxa"/>
            <w:tcBorders>
              <w:top w:val="single" w:sz="4" w:space="0" w:color="auto"/>
              <w:left w:val="single" w:sz="4" w:space="0" w:color="auto"/>
              <w:bottom w:val="single" w:sz="4" w:space="0" w:color="auto"/>
              <w:right w:val="single" w:sz="4" w:space="0" w:color="auto"/>
            </w:tcBorders>
          </w:tcPr>
          <w:p w14:paraId="3079AE0A" w14:textId="1098B813" w:rsidR="008F4746" w:rsidRPr="009A4980" w:rsidRDefault="008F4746" w:rsidP="001D1D00">
            <w:pPr>
              <w:rPr>
                <w:sz w:val="24"/>
              </w:rPr>
            </w:pPr>
            <w:r w:rsidRPr="009A4980">
              <w:rPr>
                <w:sz w:val="24"/>
              </w:rPr>
              <w:t xml:space="preserve">Les </w:t>
            </w:r>
            <w:r>
              <w:rPr>
                <w:sz w:val="24"/>
              </w:rPr>
              <w:t>collaborateurs</w:t>
            </w:r>
            <w:r w:rsidRPr="009A4980">
              <w:rPr>
                <w:sz w:val="24"/>
              </w:rPr>
              <w:t xml:space="preserve"> mis à disposition </w:t>
            </w:r>
            <w:r>
              <w:rPr>
                <w:sz w:val="24"/>
              </w:rPr>
              <w:t xml:space="preserve">dans le groupe et hors groupe CDC </w:t>
            </w:r>
            <w:r w:rsidRPr="009A4980">
              <w:rPr>
                <w:sz w:val="24"/>
              </w:rPr>
              <w:t>sont-ils concernés ?</w:t>
            </w:r>
          </w:p>
          <w:p w14:paraId="47169278" w14:textId="77777777" w:rsidR="008F4746" w:rsidRPr="009473A1" w:rsidRDefault="008F4746" w:rsidP="001D1D00">
            <w:pPr>
              <w:rPr>
                <w:color w:val="FF0000"/>
                <w:sz w:val="24"/>
              </w:rPr>
            </w:pPr>
          </w:p>
        </w:tc>
        <w:tc>
          <w:tcPr>
            <w:tcW w:w="10348" w:type="dxa"/>
            <w:tcBorders>
              <w:top w:val="single" w:sz="4" w:space="0" w:color="auto"/>
              <w:left w:val="single" w:sz="4" w:space="0" w:color="auto"/>
              <w:bottom w:val="single" w:sz="4" w:space="0" w:color="auto"/>
              <w:right w:val="single" w:sz="4" w:space="0" w:color="auto"/>
            </w:tcBorders>
            <w:hideMark/>
          </w:tcPr>
          <w:p w14:paraId="47FDE175" w14:textId="17507FF9" w:rsidR="008F4746" w:rsidRPr="008F4746" w:rsidRDefault="008F4746" w:rsidP="001D1D00">
            <w:pPr>
              <w:rPr>
                <w:i/>
                <w:sz w:val="24"/>
              </w:rPr>
            </w:pPr>
            <w:r w:rsidRPr="008F4746">
              <w:rPr>
                <w:i/>
                <w:sz w:val="24"/>
              </w:rPr>
              <w:t>Il faut être en fonction au sein de l’EP. Ces collaborateurs ne sont donc pas concernés.</w:t>
            </w:r>
          </w:p>
          <w:p w14:paraId="71BF1380" w14:textId="77777777" w:rsidR="008F4746" w:rsidRPr="009473A1" w:rsidRDefault="008F4746" w:rsidP="001D1D00">
            <w:pPr>
              <w:rPr>
                <w:i/>
                <w:color w:val="FF0000"/>
                <w:sz w:val="24"/>
              </w:rPr>
            </w:pPr>
          </w:p>
        </w:tc>
      </w:tr>
      <w:tr w:rsidR="008F4746" w14:paraId="7D034E41" w14:textId="4F5732A4" w:rsidTr="00DA295B">
        <w:tc>
          <w:tcPr>
            <w:tcW w:w="3114" w:type="dxa"/>
            <w:tcBorders>
              <w:top w:val="single" w:sz="4" w:space="0" w:color="auto"/>
              <w:left w:val="single" w:sz="4" w:space="0" w:color="auto"/>
              <w:bottom w:val="single" w:sz="4" w:space="0" w:color="auto"/>
              <w:right w:val="single" w:sz="4" w:space="0" w:color="auto"/>
            </w:tcBorders>
          </w:tcPr>
          <w:p w14:paraId="4A3AC63E" w14:textId="5AA073C5" w:rsidR="008F4746" w:rsidRDefault="008F4746" w:rsidP="001D1D00">
            <w:pPr>
              <w:pStyle w:val="Corpsdetexte"/>
              <w:rPr>
                <w:rFonts w:ascii="Times New Roman" w:hAnsi="Times New Roman"/>
              </w:rPr>
            </w:pPr>
            <w:r>
              <w:rPr>
                <w:rFonts w:ascii="Times New Roman" w:hAnsi="Times New Roman"/>
              </w:rPr>
              <w:t xml:space="preserve">Les cadres dirigeants entrent-ils dans le périmètre de ce dispositif ? </w:t>
            </w:r>
          </w:p>
          <w:p w14:paraId="4BD41848" w14:textId="77777777" w:rsidR="008F4746" w:rsidRDefault="008F4746" w:rsidP="001D1D00">
            <w:pPr>
              <w:pStyle w:val="Corpsdetexte"/>
              <w:rPr>
                <w:rFonts w:ascii="Times New Roman" w:hAnsi="Times New Roman"/>
              </w:rPr>
            </w:pPr>
          </w:p>
        </w:tc>
        <w:tc>
          <w:tcPr>
            <w:tcW w:w="10348" w:type="dxa"/>
            <w:tcBorders>
              <w:top w:val="single" w:sz="4" w:space="0" w:color="auto"/>
              <w:left w:val="single" w:sz="4" w:space="0" w:color="auto"/>
              <w:bottom w:val="single" w:sz="4" w:space="0" w:color="auto"/>
              <w:right w:val="single" w:sz="4" w:space="0" w:color="auto"/>
            </w:tcBorders>
            <w:hideMark/>
          </w:tcPr>
          <w:p w14:paraId="22B4613E" w14:textId="77777777" w:rsidR="008F4746" w:rsidRDefault="008F4746" w:rsidP="001D1D00">
            <w:pPr>
              <w:rPr>
                <w:rFonts w:ascii="Times New Roman" w:hAnsi="Times New Roman"/>
                <w:i/>
                <w:sz w:val="24"/>
              </w:rPr>
            </w:pPr>
            <w:r>
              <w:rPr>
                <w:i/>
                <w:sz w:val="24"/>
              </w:rPr>
              <w:t>Il n’y a pas d’exclusion de principe pour une catégorie d’agents. Cependant, la CDC conserve le droit de refuser l’entrée dans le dispositif (cf.infra). Ce refus doit être motivé.</w:t>
            </w:r>
          </w:p>
        </w:tc>
      </w:tr>
      <w:tr w:rsidR="008F4746" w14:paraId="3DF4C696" w14:textId="43E3100D" w:rsidTr="00DA295B">
        <w:tc>
          <w:tcPr>
            <w:tcW w:w="3114" w:type="dxa"/>
            <w:tcBorders>
              <w:top w:val="single" w:sz="4" w:space="0" w:color="auto"/>
              <w:left w:val="single" w:sz="4" w:space="0" w:color="auto"/>
              <w:bottom w:val="single" w:sz="4" w:space="0" w:color="auto"/>
              <w:right w:val="single" w:sz="4" w:space="0" w:color="auto"/>
            </w:tcBorders>
            <w:hideMark/>
          </w:tcPr>
          <w:p w14:paraId="02DDFF70" w14:textId="027B7758" w:rsidR="008F4746" w:rsidRDefault="008F4746" w:rsidP="001D1D00">
            <w:pPr>
              <w:pStyle w:val="Corpsdetexte"/>
              <w:rPr>
                <w:rFonts w:ascii="Times New Roman" w:hAnsi="Times New Roman"/>
              </w:rPr>
            </w:pPr>
            <w:r>
              <w:rPr>
                <w:rFonts w:ascii="Times New Roman" w:hAnsi="Times New Roman"/>
              </w:rPr>
              <w:lastRenderedPageBreak/>
              <w:t xml:space="preserve">Plus généralement, y a-t-il des personnes exclues du fait de leur type de travail </w:t>
            </w:r>
            <w:r w:rsidRPr="00EA7A19">
              <w:rPr>
                <w:rFonts w:ascii="Times New Roman" w:hAnsi="Times New Roman"/>
              </w:rPr>
              <w:t>par ex Chauffeurs, agents de sécurité)</w:t>
            </w:r>
          </w:p>
        </w:tc>
        <w:tc>
          <w:tcPr>
            <w:tcW w:w="10348" w:type="dxa"/>
            <w:tcBorders>
              <w:top w:val="single" w:sz="4" w:space="0" w:color="auto"/>
              <w:left w:val="single" w:sz="4" w:space="0" w:color="auto"/>
              <w:bottom w:val="single" w:sz="4" w:space="0" w:color="auto"/>
              <w:right w:val="single" w:sz="4" w:space="0" w:color="auto"/>
            </w:tcBorders>
            <w:hideMark/>
          </w:tcPr>
          <w:p w14:paraId="199D2DDA" w14:textId="77777777" w:rsidR="008F4746" w:rsidRDefault="008F4746" w:rsidP="001D1D00">
            <w:pPr>
              <w:rPr>
                <w:rFonts w:ascii="Times New Roman" w:hAnsi="Times New Roman"/>
                <w:i/>
                <w:sz w:val="24"/>
              </w:rPr>
            </w:pPr>
            <w:r>
              <w:rPr>
                <w:i/>
                <w:sz w:val="24"/>
              </w:rPr>
              <w:t>Il n’y a pas d’exclusion de principe pour une catégorie d’agents. Cependant, la CDC conserve le droit de refuser l’entrée dans le dispositif (cf.infra). Ce refus doit être motivé.</w:t>
            </w:r>
          </w:p>
        </w:tc>
      </w:tr>
      <w:tr w:rsidR="008F4746" w14:paraId="67D77D4A" w14:textId="58D8CA16" w:rsidTr="00DA295B">
        <w:tc>
          <w:tcPr>
            <w:tcW w:w="3114" w:type="dxa"/>
            <w:tcBorders>
              <w:top w:val="single" w:sz="4" w:space="0" w:color="auto"/>
              <w:left w:val="single" w:sz="4" w:space="0" w:color="auto"/>
              <w:bottom w:val="single" w:sz="4" w:space="0" w:color="auto"/>
              <w:right w:val="single" w:sz="4" w:space="0" w:color="auto"/>
            </w:tcBorders>
          </w:tcPr>
          <w:p w14:paraId="7273306C" w14:textId="77777777" w:rsidR="008F4746" w:rsidRPr="008F4746" w:rsidRDefault="008F4746" w:rsidP="001D1D00">
            <w:pPr>
              <w:rPr>
                <w:rFonts w:ascii="Times New Roman" w:hAnsi="Times New Roman" w:cs="Times New Roman"/>
                <w:sz w:val="24"/>
                <w:highlight w:val="lightGray"/>
              </w:rPr>
            </w:pPr>
            <w:r w:rsidRPr="008F4746">
              <w:rPr>
                <w:rFonts w:ascii="Times New Roman" w:hAnsi="Times New Roman" w:cs="Times New Roman"/>
                <w:sz w:val="24"/>
              </w:rPr>
              <w:t>Quels justificatifs sont à fournir au moment de l’inscription</w:t>
            </w:r>
            <w:r>
              <w:rPr>
                <w:rFonts w:ascii="Times New Roman" w:hAnsi="Times New Roman" w:cs="Times New Roman"/>
                <w:sz w:val="24"/>
              </w:rPr>
              <w:t> ?</w:t>
            </w:r>
          </w:p>
        </w:tc>
        <w:tc>
          <w:tcPr>
            <w:tcW w:w="10348" w:type="dxa"/>
            <w:tcBorders>
              <w:top w:val="single" w:sz="4" w:space="0" w:color="auto"/>
              <w:left w:val="single" w:sz="4" w:space="0" w:color="auto"/>
              <w:bottom w:val="single" w:sz="4" w:space="0" w:color="auto"/>
              <w:right w:val="single" w:sz="4" w:space="0" w:color="auto"/>
            </w:tcBorders>
          </w:tcPr>
          <w:p w14:paraId="48158776" w14:textId="148BED57" w:rsidR="008F4746" w:rsidRPr="002A754E" w:rsidRDefault="008F4746" w:rsidP="001D1D00">
            <w:pPr>
              <w:rPr>
                <w:i/>
                <w:sz w:val="24"/>
              </w:rPr>
            </w:pPr>
            <w:r w:rsidRPr="002A754E">
              <w:rPr>
                <w:i/>
                <w:sz w:val="24"/>
              </w:rPr>
              <w:t xml:space="preserve">Afin de finaliser l’inscription dans les meilleures conditions, </w:t>
            </w:r>
            <w:r>
              <w:rPr>
                <w:i/>
                <w:sz w:val="24"/>
              </w:rPr>
              <w:t>d</w:t>
            </w:r>
            <w:r w:rsidRPr="002A754E">
              <w:rPr>
                <w:i/>
                <w:sz w:val="24"/>
              </w:rPr>
              <w:t>es ju</w:t>
            </w:r>
            <w:r>
              <w:rPr>
                <w:i/>
                <w:sz w:val="24"/>
              </w:rPr>
              <w:t>s</w:t>
            </w:r>
            <w:r w:rsidRPr="002A754E">
              <w:rPr>
                <w:i/>
                <w:sz w:val="24"/>
              </w:rPr>
              <w:t>tificatifs</w:t>
            </w:r>
            <w:r>
              <w:rPr>
                <w:i/>
                <w:sz w:val="24"/>
              </w:rPr>
              <w:t xml:space="preserve"> sont demandés :</w:t>
            </w:r>
          </w:p>
          <w:p w14:paraId="7CFA86D1" w14:textId="5DAA0CDE" w:rsidR="008F4746" w:rsidRPr="008F4746" w:rsidRDefault="008F4746" w:rsidP="001D1D00">
            <w:pPr>
              <w:pStyle w:val="Paragraphedeliste"/>
              <w:numPr>
                <w:ilvl w:val="0"/>
                <w:numId w:val="6"/>
              </w:numPr>
              <w:rPr>
                <w:i/>
                <w:sz w:val="24"/>
              </w:rPr>
            </w:pPr>
            <w:r w:rsidRPr="008F4746">
              <w:rPr>
                <w:i/>
                <w:sz w:val="24"/>
              </w:rPr>
              <w:t>Tout élément permettant de calculer l’ancienneté à la CDC (exemple, le contrat de travail ou l’Estimation indicative globale (EIG) ou le relevé individuel de situation (RIS)</w:t>
            </w:r>
          </w:p>
          <w:p w14:paraId="3212EEAC" w14:textId="1C0FF1F7" w:rsidR="008F4746" w:rsidRPr="008F4746" w:rsidRDefault="008F4746" w:rsidP="001D1D00">
            <w:pPr>
              <w:pStyle w:val="Paragraphedeliste"/>
              <w:numPr>
                <w:ilvl w:val="0"/>
                <w:numId w:val="6"/>
              </w:numPr>
              <w:rPr>
                <w:i/>
                <w:sz w:val="24"/>
              </w:rPr>
            </w:pPr>
            <w:r w:rsidRPr="008F4746">
              <w:rPr>
                <w:i/>
                <w:sz w:val="24"/>
              </w:rPr>
              <w:t xml:space="preserve">Le RIS </w:t>
            </w:r>
            <w:r w:rsidR="00EF4B1C">
              <w:rPr>
                <w:i/>
                <w:sz w:val="24"/>
              </w:rPr>
              <w:t xml:space="preserve">(ou l’EIG) </w:t>
            </w:r>
            <w:r w:rsidRPr="008F4746">
              <w:rPr>
                <w:i/>
                <w:sz w:val="24"/>
              </w:rPr>
              <w:t>doit aussi permettre de prouver que des jours carrière longue ou des jours médailles sont à acquérir, le cas échéant.</w:t>
            </w:r>
          </w:p>
          <w:p w14:paraId="1B5B01F2" w14:textId="5B19AB4E" w:rsidR="008F4746" w:rsidRDefault="008F4746" w:rsidP="001D1D00">
            <w:pPr>
              <w:pStyle w:val="Paragraphedeliste"/>
              <w:numPr>
                <w:ilvl w:val="0"/>
                <w:numId w:val="6"/>
              </w:numPr>
              <w:rPr>
                <w:i/>
                <w:sz w:val="24"/>
              </w:rPr>
            </w:pPr>
            <w:r w:rsidRPr="008F4746">
              <w:rPr>
                <w:i/>
                <w:sz w:val="24"/>
              </w:rPr>
              <w:t xml:space="preserve">Pour les </w:t>
            </w:r>
            <w:r>
              <w:rPr>
                <w:i/>
                <w:sz w:val="24"/>
              </w:rPr>
              <w:t>personnes ayant moins de 60 ans au moment du début de la CAA, les éléments des caisses de retraite permettant de vérifier qu’il sera légalement possible de partir à la retraite au bout des 2 ans.</w:t>
            </w:r>
          </w:p>
          <w:p w14:paraId="0D666301" w14:textId="77777777" w:rsidR="008F4746" w:rsidRDefault="008F4746" w:rsidP="001D1D00">
            <w:pPr>
              <w:pStyle w:val="Paragraphedeliste"/>
              <w:numPr>
                <w:ilvl w:val="0"/>
                <w:numId w:val="6"/>
              </w:numPr>
              <w:rPr>
                <w:i/>
                <w:sz w:val="24"/>
              </w:rPr>
            </w:pPr>
            <w:r>
              <w:rPr>
                <w:i/>
                <w:sz w:val="24"/>
              </w:rPr>
              <w:t>Une copie d’écran des jours CET détenus.</w:t>
            </w:r>
          </w:p>
          <w:p w14:paraId="2BF0D8C8" w14:textId="77777777" w:rsidR="008F4746" w:rsidRDefault="008F4746" w:rsidP="001D1D00">
            <w:pPr>
              <w:pStyle w:val="Paragraphedeliste"/>
              <w:rPr>
                <w:i/>
                <w:sz w:val="24"/>
              </w:rPr>
            </w:pPr>
          </w:p>
          <w:p w14:paraId="4CA81918" w14:textId="77777777" w:rsidR="008F4746" w:rsidRPr="002F11AD" w:rsidRDefault="008F4746" w:rsidP="00ED769D">
            <w:pPr>
              <w:rPr>
                <w:i/>
                <w:sz w:val="24"/>
              </w:rPr>
            </w:pPr>
          </w:p>
        </w:tc>
      </w:tr>
      <w:tr w:rsidR="008F4746" w14:paraId="7EF7B320" w14:textId="44021C82" w:rsidTr="00DA295B">
        <w:tc>
          <w:tcPr>
            <w:tcW w:w="3114" w:type="dxa"/>
            <w:tcBorders>
              <w:top w:val="single" w:sz="4" w:space="0" w:color="auto"/>
              <w:left w:val="single" w:sz="4" w:space="0" w:color="auto"/>
              <w:bottom w:val="single" w:sz="4" w:space="0" w:color="auto"/>
              <w:right w:val="single" w:sz="4" w:space="0" w:color="auto"/>
            </w:tcBorders>
          </w:tcPr>
          <w:p w14:paraId="50EE7C57" w14:textId="77777777" w:rsidR="008F4746" w:rsidRPr="002A754E" w:rsidRDefault="008F4746" w:rsidP="001D1D00">
            <w:pPr>
              <w:rPr>
                <w:sz w:val="24"/>
              </w:rPr>
            </w:pPr>
            <w:r>
              <w:rPr>
                <w:sz w:val="24"/>
              </w:rPr>
              <w:t>Quelles sont les possibilités offertes aux collaborateurs ?</w:t>
            </w:r>
          </w:p>
        </w:tc>
        <w:tc>
          <w:tcPr>
            <w:tcW w:w="10348" w:type="dxa"/>
            <w:tcBorders>
              <w:top w:val="single" w:sz="4" w:space="0" w:color="auto"/>
              <w:left w:val="single" w:sz="4" w:space="0" w:color="auto"/>
              <w:bottom w:val="single" w:sz="4" w:space="0" w:color="auto"/>
              <w:right w:val="single" w:sz="4" w:space="0" w:color="auto"/>
            </w:tcBorders>
          </w:tcPr>
          <w:p w14:paraId="6824E421" w14:textId="25DC57DB" w:rsidR="008F4746" w:rsidRDefault="008F4746" w:rsidP="001D1D00">
            <w:pPr>
              <w:rPr>
                <w:i/>
                <w:sz w:val="24"/>
              </w:rPr>
            </w:pPr>
            <w:r>
              <w:rPr>
                <w:i/>
                <w:sz w:val="24"/>
              </w:rPr>
              <w:t xml:space="preserve">Le collaborateur a le choix entre deux dispositifs de cessation anticipée d’activité : </w:t>
            </w:r>
          </w:p>
          <w:p w14:paraId="6A50AD9D" w14:textId="77777777" w:rsidR="008F4746" w:rsidRDefault="008F4746" w:rsidP="001D1D00">
            <w:pPr>
              <w:rPr>
                <w:i/>
                <w:sz w:val="24"/>
              </w:rPr>
            </w:pPr>
            <w:r>
              <w:rPr>
                <w:i/>
                <w:sz w:val="24"/>
              </w:rPr>
              <w:t>- un dispositif en un an, consistant en une période d’activité de six mois, suivie d’une période de non activité de six mois ;</w:t>
            </w:r>
          </w:p>
          <w:p w14:paraId="342141E4" w14:textId="77777777" w:rsidR="008F4746" w:rsidRDefault="008F4746" w:rsidP="001D1D00">
            <w:pPr>
              <w:rPr>
                <w:i/>
                <w:sz w:val="24"/>
              </w:rPr>
            </w:pPr>
            <w:r>
              <w:rPr>
                <w:i/>
                <w:sz w:val="24"/>
              </w:rPr>
              <w:t xml:space="preserve">- un dispositif en deux ans, consistant en une période d’activité d’un an, suivie d’une période de non activité d’un an ;  </w:t>
            </w:r>
          </w:p>
          <w:p w14:paraId="7AE9AA35" w14:textId="77777777" w:rsidR="008F4746" w:rsidRDefault="008F4746" w:rsidP="001D1D00">
            <w:pPr>
              <w:rPr>
                <w:i/>
                <w:sz w:val="24"/>
              </w:rPr>
            </w:pPr>
            <w:r>
              <w:rPr>
                <w:i/>
                <w:sz w:val="24"/>
              </w:rPr>
              <w:t xml:space="preserve">Dans ces deux cas, le collaborateur travaille à 100% pendant la première période et il est rémunéré à hauteur de 80% pendant tout le dispositif. </w:t>
            </w:r>
          </w:p>
          <w:p w14:paraId="7133A00C" w14:textId="2939D3A7" w:rsidR="008F4746" w:rsidRDefault="008F4746" w:rsidP="001D1D00">
            <w:pPr>
              <w:rPr>
                <w:i/>
                <w:sz w:val="24"/>
              </w:rPr>
            </w:pPr>
            <w:r>
              <w:rPr>
                <w:i/>
                <w:sz w:val="24"/>
              </w:rPr>
              <w:t>Le collaborateur peut préserver sa rémunération à 100% pendant toute la durée du dispositif, s’il apporte un nombre de jours CET, jours médailles ou carrière longue suffisant (hors dotation prévue par l’accord : 47 jours pour le dispositif en un an, 94 jours pour le dispositif en 2 ans).</w:t>
            </w:r>
          </w:p>
          <w:p w14:paraId="507D1590" w14:textId="77777777" w:rsidR="008F4746" w:rsidRDefault="008F4746" w:rsidP="001D1D00">
            <w:pPr>
              <w:rPr>
                <w:i/>
                <w:sz w:val="24"/>
              </w:rPr>
            </w:pPr>
            <w:r w:rsidRPr="008F4746">
              <w:rPr>
                <w:i/>
                <w:sz w:val="24"/>
              </w:rPr>
              <w:t>En outre, le collaborateur à temps partiel (quelle que soit la quotité) lors de l’entrée dans le dispositif p</w:t>
            </w:r>
            <w:r>
              <w:rPr>
                <w:i/>
                <w:sz w:val="24"/>
              </w:rPr>
              <w:t xml:space="preserve">eut, s’il le souhaite, travailler 4 jours par semaine (80%) pendant la première période : dans ce cas, il doit apporter, hors dotation CDC, 17  jours CET/médailles / carrière longue pour le dispositif en un an et 34 jours pour le dispositif en deux ans. Sa rémunération sera de 80% pendant la durée du dispositif. </w:t>
            </w:r>
          </w:p>
          <w:p w14:paraId="648FE2AB" w14:textId="15CBD069" w:rsidR="008F4746" w:rsidRPr="002A754E" w:rsidRDefault="008F4746" w:rsidP="001D1D00">
            <w:pPr>
              <w:rPr>
                <w:i/>
                <w:sz w:val="24"/>
              </w:rPr>
            </w:pPr>
            <w:r>
              <w:rPr>
                <w:i/>
                <w:sz w:val="24"/>
              </w:rPr>
              <w:lastRenderedPageBreak/>
              <w:t>Hormis pour les personnes bénéficiant du dispositif transitoire, il n’est pas possible de cumuler une rémunération à 100% et un travail à 4 jours sur 5.</w:t>
            </w:r>
          </w:p>
        </w:tc>
      </w:tr>
      <w:tr w:rsidR="008F4746" w14:paraId="1D4E0391" w14:textId="2A896ACC" w:rsidTr="00DA295B">
        <w:tc>
          <w:tcPr>
            <w:tcW w:w="3114" w:type="dxa"/>
            <w:tcBorders>
              <w:top w:val="single" w:sz="4" w:space="0" w:color="auto"/>
              <w:left w:val="single" w:sz="4" w:space="0" w:color="auto"/>
              <w:bottom w:val="single" w:sz="4" w:space="0" w:color="auto"/>
              <w:right w:val="single" w:sz="4" w:space="0" w:color="auto"/>
            </w:tcBorders>
          </w:tcPr>
          <w:p w14:paraId="7F9FE03C" w14:textId="77777777" w:rsidR="008F4746" w:rsidRPr="008F4746" w:rsidRDefault="008F4746" w:rsidP="001D1D00">
            <w:pPr>
              <w:pStyle w:val="Corpsdetexte"/>
              <w:rPr>
                <w:rFonts w:asciiTheme="minorHAnsi" w:hAnsiTheme="minorHAnsi" w:cstheme="minorHAnsi"/>
              </w:rPr>
            </w:pPr>
            <w:r w:rsidRPr="008F4746">
              <w:rPr>
                <w:rFonts w:asciiTheme="minorHAnsi" w:hAnsiTheme="minorHAnsi" w:cstheme="minorHAnsi"/>
              </w:rPr>
              <w:lastRenderedPageBreak/>
              <w:t>Qu’est-ce que la période transitoire ?</w:t>
            </w:r>
          </w:p>
        </w:tc>
        <w:tc>
          <w:tcPr>
            <w:tcW w:w="10348" w:type="dxa"/>
            <w:tcBorders>
              <w:top w:val="single" w:sz="4" w:space="0" w:color="auto"/>
              <w:left w:val="single" w:sz="4" w:space="0" w:color="auto"/>
              <w:bottom w:val="single" w:sz="4" w:space="0" w:color="auto"/>
              <w:right w:val="single" w:sz="4" w:space="0" w:color="auto"/>
            </w:tcBorders>
          </w:tcPr>
          <w:p w14:paraId="336A69B0" w14:textId="47070D08" w:rsidR="008F4746" w:rsidRPr="008F4746" w:rsidRDefault="008F4746" w:rsidP="001D1D00">
            <w:pPr>
              <w:rPr>
                <w:rFonts w:asciiTheme="minorHAnsi" w:hAnsiTheme="minorHAnsi" w:cstheme="minorHAnsi"/>
                <w:i/>
                <w:sz w:val="24"/>
              </w:rPr>
            </w:pPr>
            <w:r w:rsidRPr="008F4746">
              <w:rPr>
                <w:rFonts w:asciiTheme="minorHAnsi" w:hAnsiTheme="minorHAnsi" w:cstheme="minorHAnsi"/>
                <w:i/>
                <w:sz w:val="24"/>
              </w:rPr>
              <w:t>Cette période concerne les collaborateurs qui entreront dans le dispositif entre le 1</w:t>
            </w:r>
            <w:r w:rsidRPr="008F4746">
              <w:rPr>
                <w:rFonts w:asciiTheme="minorHAnsi" w:hAnsiTheme="minorHAnsi" w:cstheme="minorHAnsi"/>
                <w:i/>
                <w:sz w:val="24"/>
                <w:vertAlign w:val="superscript"/>
              </w:rPr>
              <w:t>er</w:t>
            </w:r>
            <w:r w:rsidRPr="008F4746">
              <w:rPr>
                <w:rFonts w:asciiTheme="minorHAnsi" w:hAnsiTheme="minorHAnsi" w:cstheme="minorHAnsi"/>
                <w:i/>
                <w:sz w:val="24"/>
              </w:rPr>
              <w:t xml:space="preserve"> janvier et le 1</w:t>
            </w:r>
            <w:r w:rsidRPr="008F4746">
              <w:rPr>
                <w:rFonts w:asciiTheme="minorHAnsi" w:hAnsiTheme="minorHAnsi" w:cstheme="minorHAnsi"/>
                <w:i/>
                <w:sz w:val="24"/>
                <w:vertAlign w:val="superscript"/>
              </w:rPr>
              <w:t>er</w:t>
            </w:r>
            <w:r w:rsidRPr="008F4746">
              <w:rPr>
                <w:rFonts w:asciiTheme="minorHAnsi" w:hAnsiTheme="minorHAnsi" w:cstheme="minorHAnsi"/>
                <w:i/>
                <w:sz w:val="24"/>
              </w:rPr>
              <w:t xml:space="preserve"> février 2020, et qui auraient un grand nombre de jours de CET / médailles / carrière longue en incluant la dotation de la CDC.  </w:t>
            </w:r>
          </w:p>
          <w:p w14:paraId="14656393" w14:textId="648DFE76" w:rsidR="008F4746" w:rsidRPr="008F4746" w:rsidRDefault="008F4746" w:rsidP="001D1D00">
            <w:pPr>
              <w:rPr>
                <w:rFonts w:asciiTheme="minorHAnsi" w:hAnsiTheme="minorHAnsi" w:cstheme="minorHAnsi"/>
                <w:i/>
                <w:sz w:val="24"/>
              </w:rPr>
            </w:pPr>
            <w:r w:rsidRPr="008F4746">
              <w:rPr>
                <w:rFonts w:asciiTheme="minorHAnsi" w:hAnsiTheme="minorHAnsi" w:cstheme="minorHAnsi"/>
                <w:i/>
                <w:sz w:val="24"/>
              </w:rPr>
              <w:t>Durant cette période, un dispositif spécifique et limité dans le temps s’appliquera. Les collaborateurs auront la possibilité, dans les 3 mois suivant leur entrée dans le dispositif (soit jusqu’au 30 mars 2020 pour ceux entrés au 1</w:t>
            </w:r>
            <w:r w:rsidRPr="008F4746">
              <w:rPr>
                <w:rFonts w:asciiTheme="minorHAnsi" w:hAnsiTheme="minorHAnsi" w:cstheme="minorHAnsi"/>
                <w:i/>
                <w:sz w:val="24"/>
                <w:vertAlign w:val="superscript"/>
              </w:rPr>
              <w:t>er</w:t>
            </w:r>
            <w:r w:rsidRPr="008F4746">
              <w:rPr>
                <w:rFonts w:asciiTheme="minorHAnsi" w:hAnsiTheme="minorHAnsi" w:cstheme="minorHAnsi"/>
                <w:i/>
                <w:sz w:val="24"/>
              </w:rPr>
              <w:t xml:space="preserve"> janvier, ou jusqu’au 30 avril 2020 pour ceux entrés au 1</w:t>
            </w:r>
            <w:r w:rsidRPr="008F4746">
              <w:rPr>
                <w:rFonts w:asciiTheme="minorHAnsi" w:hAnsiTheme="minorHAnsi" w:cstheme="minorHAnsi"/>
                <w:i/>
                <w:sz w:val="24"/>
                <w:vertAlign w:val="superscript"/>
              </w:rPr>
              <w:t>er</w:t>
            </w:r>
            <w:r w:rsidRPr="008F4746">
              <w:rPr>
                <w:rFonts w:asciiTheme="minorHAnsi" w:hAnsiTheme="minorHAnsi" w:cstheme="minorHAnsi"/>
                <w:i/>
                <w:sz w:val="24"/>
              </w:rPr>
              <w:t xml:space="preserve"> février) d’utiliser leurs jours restants dans les conditions suivantes : </w:t>
            </w:r>
          </w:p>
          <w:p w14:paraId="10A9C1B1" w14:textId="46891FDA" w:rsidR="008F4746" w:rsidRPr="008F4746" w:rsidRDefault="008F4746" w:rsidP="001D1D00">
            <w:pPr>
              <w:pStyle w:val="Paragraphedeliste"/>
              <w:numPr>
                <w:ilvl w:val="0"/>
                <w:numId w:val="6"/>
              </w:numPr>
              <w:rPr>
                <w:rFonts w:asciiTheme="minorHAnsi" w:hAnsiTheme="minorHAnsi" w:cstheme="minorHAnsi"/>
                <w:i/>
                <w:sz w:val="24"/>
              </w:rPr>
            </w:pPr>
            <w:r w:rsidRPr="008F4746">
              <w:rPr>
                <w:rFonts w:asciiTheme="minorHAnsi" w:hAnsiTheme="minorHAnsi" w:cstheme="minorHAnsi"/>
                <w:i/>
                <w:sz w:val="24"/>
              </w:rPr>
              <w:t xml:space="preserve">Soit, pour les collaborateurs à temps plein, en temps d’absence, dans la limite d’un jour par semaine (soit 12 jours maxi); </w:t>
            </w:r>
          </w:p>
          <w:p w14:paraId="5B785B1F" w14:textId="1A8B1729" w:rsidR="008F4746" w:rsidRPr="008F4746" w:rsidRDefault="008F4746" w:rsidP="001D1D00">
            <w:pPr>
              <w:pStyle w:val="Paragraphedeliste"/>
              <w:numPr>
                <w:ilvl w:val="0"/>
                <w:numId w:val="6"/>
              </w:numPr>
              <w:rPr>
                <w:rFonts w:asciiTheme="minorHAnsi" w:hAnsiTheme="minorHAnsi" w:cstheme="minorHAnsi"/>
                <w:i/>
                <w:sz w:val="24"/>
              </w:rPr>
            </w:pPr>
            <w:r w:rsidRPr="008F4746">
              <w:rPr>
                <w:rFonts w:asciiTheme="minorHAnsi" w:hAnsiTheme="minorHAnsi" w:cstheme="minorHAnsi"/>
                <w:i/>
                <w:sz w:val="24"/>
              </w:rPr>
              <w:t>Soit, pour les collaborateurs dont le temps partiel a été ramené à 80 %, en maintien de la rémunération (100%) (soit pendant une période continue de 12 semaines maxi).</w:t>
            </w:r>
          </w:p>
          <w:p w14:paraId="334C9A77" w14:textId="65044797" w:rsidR="008F4746" w:rsidRPr="008F4746" w:rsidRDefault="008F4746" w:rsidP="001D1D00">
            <w:pPr>
              <w:rPr>
                <w:rFonts w:asciiTheme="minorHAnsi" w:hAnsiTheme="minorHAnsi" w:cstheme="minorHAnsi"/>
                <w:i/>
                <w:sz w:val="24"/>
              </w:rPr>
            </w:pPr>
            <w:r w:rsidRPr="008F4746">
              <w:rPr>
                <w:rFonts w:asciiTheme="minorHAnsi" w:hAnsiTheme="minorHAnsi" w:cstheme="minorHAnsi"/>
                <w:i/>
                <w:sz w:val="24"/>
              </w:rPr>
              <w:t xml:space="preserve">En revanche ils ne pourront pas prendre part à la campagne d’option relative aux CET au titre de l’année 2019. </w:t>
            </w:r>
          </w:p>
          <w:p w14:paraId="3CA1913F" w14:textId="77777777" w:rsidR="008F4746" w:rsidRPr="008F4746" w:rsidRDefault="008F4746" w:rsidP="008F4746">
            <w:pPr>
              <w:pStyle w:val="Paragraphedeliste"/>
              <w:numPr>
                <w:ilvl w:val="0"/>
                <w:numId w:val="6"/>
              </w:numPr>
              <w:rPr>
                <w:rFonts w:asciiTheme="minorHAnsi" w:hAnsiTheme="minorHAnsi" w:cstheme="minorHAnsi"/>
                <w:sz w:val="24"/>
              </w:rPr>
            </w:pPr>
          </w:p>
        </w:tc>
      </w:tr>
      <w:tr w:rsidR="008F4746" w14:paraId="000D6A53" w14:textId="1E2B735C" w:rsidTr="00DA295B">
        <w:tc>
          <w:tcPr>
            <w:tcW w:w="3114" w:type="dxa"/>
            <w:tcBorders>
              <w:top w:val="single" w:sz="4" w:space="0" w:color="auto"/>
              <w:left w:val="single" w:sz="4" w:space="0" w:color="auto"/>
              <w:bottom w:val="single" w:sz="4" w:space="0" w:color="auto"/>
              <w:right w:val="single" w:sz="4" w:space="0" w:color="auto"/>
            </w:tcBorders>
          </w:tcPr>
          <w:p w14:paraId="7DECF874" w14:textId="77777777" w:rsidR="008F4746" w:rsidRDefault="008F4746" w:rsidP="001D1D00">
            <w:pPr>
              <w:pStyle w:val="Corpsdetexte"/>
              <w:rPr>
                <w:rFonts w:ascii="Times New Roman" w:hAnsi="Times New Roman"/>
              </w:rPr>
            </w:pPr>
            <w:r>
              <w:rPr>
                <w:rFonts w:ascii="Times New Roman" w:hAnsi="Times New Roman"/>
              </w:rPr>
              <w:t>Quid des temps partiels au moment de l’entrée dans le dispositif ?</w:t>
            </w:r>
          </w:p>
          <w:p w14:paraId="070471F4" w14:textId="77777777" w:rsidR="008F4746" w:rsidRDefault="008F4746" w:rsidP="001D1D00">
            <w:pPr>
              <w:pStyle w:val="Corpsdetexte"/>
              <w:rPr>
                <w:rFonts w:ascii="Times New Roman" w:hAnsi="Times New Roman"/>
              </w:rPr>
            </w:pPr>
          </w:p>
        </w:tc>
        <w:tc>
          <w:tcPr>
            <w:tcW w:w="10348" w:type="dxa"/>
            <w:tcBorders>
              <w:top w:val="single" w:sz="4" w:space="0" w:color="auto"/>
              <w:left w:val="single" w:sz="4" w:space="0" w:color="auto"/>
              <w:bottom w:val="single" w:sz="4" w:space="0" w:color="auto"/>
              <w:right w:val="single" w:sz="4" w:space="0" w:color="auto"/>
            </w:tcBorders>
            <w:hideMark/>
          </w:tcPr>
          <w:p w14:paraId="50946233" w14:textId="1A8EBE80" w:rsidR="008F4746" w:rsidRPr="008F4746" w:rsidRDefault="008F4746" w:rsidP="001D1D00">
            <w:pPr>
              <w:rPr>
                <w:rFonts w:asciiTheme="minorHAnsi" w:hAnsiTheme="minorHAnsi"/>
                <w:i/>
                <w:sz w:val="24"/>
              </w:rPr>
            </w:pPr>
            <w:r w:rsidRPr="008F4746">
              <w:rPr>
                <w:rFonts w:asciiTheme="minorHAnsi" w:hAnsiTheme="minorHAnsi"/>
                <w:i/>
                <w:sz w:val="24"/>
              </w:rPr>
              <w:t>Tous les collaborateurs à temps partiel quelle que soit la quotité repassent à temps plein à l’entrée dans le dispositif.</w:t>
            </w:r>
          </w:p>
          <w:p w14:paraId="67882015" w14:textId="712F01AC" w:rsidR="008F4746" w:rsidRPr="008F4746" w:rsidRDefault="008F4746" w:rsidP="001D1D00">
            <w:pPr>
              <w:rPr>
                <w:rFonts w:asciiTheme="minorHAnsi" w:hAnsiTheme="minorHAnsi"/>
                <w:i/>
                <w:sz w:val="24"/>
              </w:rPr>
            </w:pPr>
            <w:r w:rsidRPr="008F4746">
              <w:rPr>
                <w:rFonts w:asciiTheme="minorHAnsi" w:hAnsiTheme="minorHAnsi"/>
                <w:i/>
                <w:sz w:val="24"/>
              </w:rPr>
              <w:t>Cependant, un choix est possible : si la personne souhaite ne travailler que 4 jours sur 5 (80%) pendant la première période du dispositif, elle peut en contrepartie verser des jours de CET / médailles / carrière longue. Elle ne peut alors pas opter pour une rémunération à 100%.</w:t>
            </w:r>
          </w:p>
          <w:p w14:paraId="6C43B27F" w14:textId="07A368E8" w:rsidR="008F4746" w:rsidRPr="008F4746" w:rsidRDefault="008F4746" w:rsidP="001D1D00">
            <w:pPr>
              <w:rPr>
                <w:rFonts w:asciiTheme="minorHAnsi" w:hAnsiTheme="minorHAnsi"/>
                <w:i/>
                <w:sz w:val="24"/>
              </w:rPr>
            </w:pPr>
            <w:r w:rsidRPr="008F4746">
              <w:rPr>
                <w:rFonts w:asciiTheme="minorHAnsi" w:hAnsiTheme="minorHAnsi"/>
                <w:i/>
                <w:sz w:val="24"/>
              </w:rPr>
              <w:t>Elle bénéficie de la dotation de la CDC (5 jours pour une CAA de 2x6 mois et de 10 jours pour 2x1 an). En incluant cette dotation, la personne doit verser un total de 22 jours pour un dispositif en un an et de 44 jours pour un dispositif en deux ans.</w:t>
            </w:r>
          </w:p>
          <w:p w14:paraId="7C23AF6A" w14:textId="3EE74A5F" w:rsidR="008F4746" w:rsidRDefault="008F4746" w:rsidP="001D1D00">
            <w:pPr>
              <w:rPr>
                <w:rFonts w:ascii="Times New Roman" w:hAnsi="Times New Roman"/>
                <w:i/>
                <w:sz w:val="24"/>
              </w:rPr>
            </w:pPr>
            <w:r w:rsidRPr="008F4746">
              <w:rPr>
                <w:rFonts w:asciiTheme="minorHAnsi" w:hAnsiTheme="minorHAnsi"/>
                <w:i/>
                <w:sz w:val="24"/>
              </w:rPr>
              <w:t>Sous réserve des dispositions transitoires, il n’est pas possible de combiner le fait d’exercer 4 jours par semaine et le maintien à 100% de la rémunération.</w:t>
            </w:r>
          </w:p>
        </w:tc>
      </w:tr>
      <w:tr w:rsidR="008F4746" w14:paraId="4D453ADD" w14:textId="2C8C1A19" w:rsidTr="00DA295B">
        <w:tc>
          <w:tcPr>
            <w:tcW w:w="3114" w:type="dxa"/>
            <w:tcBorders>
              <w:top w:val="single" w:sz="4" w:space="0" w:color="auto"/>
              <w:left w:val="single" w:sz="4" w:space="0" w:color="auto"/>
              <w:bottom w:val="single" w:sz="4" w:space="0" w:color="auto"/>
              <w:right w:val="single" w:sz="4" w:space="0" w:color="auto"/>
            </w:tcBorders>
          </w:tcPr>
          <w:p w14:paraId="1DB4AC86" w14:textId="77777777" w:rsidR="008F4746" w:rsidRDefault="008F4746" w:rsidP="001D1D00">
            <w:pPr>
              <w:pStyle w:val="Corpsdetexte"/>
              <w:rPr>
                <w:rFonts w:ascii="Times New Roman" w:hAnsi="Times New Roman"/>
              </w:rPr>
            </w:pPr>
            <w:r>
              <w:rPr>
                <w:rFonts w:ascii="Times New Roman" w:hAnsi="Times New Roman"/>
              </w:rPr>
              <w:t xml:space="preserve">Quels sont les motifs de refus d’une CAA ? </w:t>
            </w:r>
          </w:p>
          <w:p w14:paraId="374B5744" w14:textId="77777777" w:rsidR="008F4746" w:rsidRDefault="008F4746" w:rsidP="001D1D00">
            <w:pPr>
              <w:pStyle w:val="Corpsdetexte"/>
              <w:rPr>
                <w:rFonts w:ascii="Times New Roman" w:hAnsi="Times New Roman"/>
              </w:rPr>
            </w:pPr>
          </w:p>
        </w:tc>
        <w:tc>
          <w:tcPr>
            <w:tcW w:w="10348" w:type="dxa"/>
            <w:tcBorders>
              <w:top w:val="single" w:sz="4" w:space="0" w:color="auto"/>
              <w:left w:val="single" w:sz="4" w:space="0" w:color="auto"/>
              <w:bottom w:val="single" w:sz="4" w:space="0" w:color="auto"/>
              <w:right w:val="single" w:sz="4" w:space="0" w:color="auto"/>
            </w:tcBorders>
          </w:tcPr>
          <w:p w14:paraId="605F90DC" w14:textId="77777777" w:rsidR="008F4746" w:rsidRDefault="008F4746" w:rsidP="001D1D00">
            <w:pPr>
              <w:rPr>
                <w:i/>
                <w:sz w:val="24"/>
              </w:rPr>
            </w:pPr>
            <w:r>
              <w:rPr>
                <w:i/>
                <w:sz w:val="24"/>
              </w:rPr>
              <w:t>La CDC peut refuser l’entrée dans un dispositif de CAA si la cessation d’activité du collaborateur est de nature à entraver la bonne fin d’un projet ou entraîner une difficulté opérationnelle majeure pour la continuité de l’activité.</w:t>
            </w:r>
          </w:p>
        </w:tc>
      </w:tr>
      <w:tr w:rsidR="008F4746" w14:paraId="237D3056" w14:textId="339E2C91" w:rsidTr="00DA295B">
        <w:tc>
          <w:tcPr>
            <w:tcW w:w="3114" w:type="dxa"/>
            <w:tcBorders>
              <w:top w:val="single" w:sz="4" w:space="0" w:color="auto"/>
              <w:left w:val="single" w:sz="4" w:space="0" w:color="auto"/>
              <w:bottom w:val="single" w:sz="4" w:space="0" w:color="auto"/>
              <w:right w:val="single" w:sz="4" w:space="0" w:color="auto"/>
            </w:tcBorders>
          </w:tcPr>
          <w:p w14:paraId="73EFFC2F" w14:textId="77777777" w:rsidR="008F4746" w:rsidRDefault="008F4746" w:rsidP="001D1D00">
            <w:pPr>
              <w:pStyle w:val="Corpsdetexte"/>
              <w:rPr>
                <w:rFonts w:ascii="Times New Roman" w:hAnsi="Times New Roman"/>
              </w:rPr>
            </w:pPr>
            <w:r>
              <w:rPr>
                <w:rFonts w:ascii="Times New Roman" w:hAnsi="Times New Roman"/>
              </w:rPr>
              <w:lastRenderedPageBreak/>
              <w:t>Quelles sont les voies de recours en cas de refus de la CAA ?</w:t>
            </w:r>
          </w:p>
        </w:tc>
        <w:tc>
          <w:tcPr>
            <w:tcW w:w="10348" w:type="dxa"/>
            <w:tcBorders>
              <w:top w:val="single" w:sz="4" w:space="0" w:color="auto"/>
              <w:left w:val="single" w:sz="4" w:space="0" w:color="auto"/>
              <w:bottom w:val="single" w:sz="4" w:space="0" w:color="auto"/>
              <w:right w:val="single" w:sz="4" w:space="0" w:color="auto"/>
            </w:tcBorders>
          </w:tcPr>
          <w:p w14:paraId="58AA975A" w14:textId="6304CD19" w:rsidR="008F4746" w:rsidRDefault="008F4746" w:rsidP="001D1D00">
            <w:pPr>
              <w:rPr>
                <w:i/>
                <w:sz w:val="24"/>
              </w:rPr>
            </w:pPr>
            <w:r>
              <w:rPr>
                <w:i/>
                <w:sz w:val="24"/>
              </w:rPr>
              <w:t xml:space="preserve">Ce sont les voies de recours de droit commun qui s’appliquent : le collaborateur peut notamment effectuer un recours gracieux ou </w:t>
            </w:r>
            <w:r w:rsidRPr="008F4746">
              <w:rPr>
                <w:i/>
                <w:sz w:val="24"/>
              </w:rPr>
              <w:t>hiérarchique ou, selon son statut, auprès de la juridiction administrative ou devant le conseil des prud’hommes.</w:t>
            </w:r>
          </w:p>
        </w:tc>
      </w:tr>
      <w:tr w:rsidR="008F4746" w14:paraId="165D3E56" w14:textId="57000E13" w:rsidTr="00DA295B">
        <w:tc>
          <w:tcPr>
            <w:tcW w:w="3114" w:type="dxa"/>
            <w:tcBorders>
              <w:top w:val="single" w:sz="4" w:space="0" w:color="auto"/>
              <w:left w:val="single" w:sz="4" w:space="0" w:color="auto"/>
              <w:bottom w:val="single" w:sz="4" w:space="0" w:color="auto"/>
              <w:right w:val="nil"/>
            </w:tcBorders>
          </w:tcPr>
          <w:p w14:paraId="14B42883" w14:textId="77777777" w:rsidR="008F4746" w:rsidRDefault="008F4746" w:rsidP="001D1D00">
            <w:pPr>
              <w:pStyle w:val="Corpsdetexte"/>
              <w:rPr>
                <w:rFonts w:ascii="Times New Roman" w:hAnsi="Times New Roman"/>
                <w:highlight w:val="yellow"/>
              </w:rPr>
            </w:pPr>
          </w:p>
          <w:p w14:paraId="5E82F830" w14:textId="54F5F252" w:rsidR="008F4746" w:rsidRPr="008F4746" w:rsidRDefault="008F4746" w:rsidP="001D1D00">
            <w:pPr>
              <w:pStyle w:val="Corpsdetexte"/>
              <w:rPr>
                <w:rFonts w:ascii="Times New Roman" w:hAnsi="Times New Roman"/>
              </w:rPr>
            </w:pPr>
            <w:r w:rsidRPr="008F4746">
              <w:rPr>
                <w:rFonts w:ascii="Times New Roman" w:hAnsi="Times New Roman"/>
              </w:rPr>
              <w:t>MATT / CAA</w:t>
            </w:r>
          </w:p>
          <w:p w14:paraId="61783808" w14:textId="77777777" w:rsidR="008F4746" w:rsidRDefault="008F4746" w:rsidP="001D1D00">
            <w:pPr>
              <w:pStyle w:val="Corpsdetexte"/>
              <w:rPr>
                <w:rFonts w:ascii="Times New Roman" w:hAnsi="Times New Roman"/>
                <w:highlight w:val="yellow"/>
              </w:rPr>
            </w:pPr>
          </w:p>
        </w:tc>
        <w:tc>
          <w:tcPr>
            <w:tcW w:w="10348" w:type="dxa"/>
            <w:tcBorders>
              <w:top w:val="single" w:sz="4" w:space="0" w:color="auto"/>
              <w:left w:val="nil"/>
              <w:bottom w:val="single" w:sz="4" w:space="0" w:color="auto"/>
              <w:right w:val="single" w:sz="4" w:space="0" w:color="auto"/>
            </w:tcBorders>
          </w:tcPr>
          <w:p w14:paraId="5C0A68A4" w14:textId="77777777" w:rsidR="008F4746" w:rsidRDefault="008F4746" w:rsidP="001D1D00">
            <w:pPr>
              <w:pStyle w:val="Titre7"/>
              <w:ind w:left="518"/>
              <w:jc w:val="left"/>
              <w:rPr>
                <w:i/>
                <w:color w:val="auto"/>
              </w:rPr>
            </w:pPr>
          </w:p>
        </w:tc>
      </w:tr>
      <w:tr w:rsidR="008F4746" w14:paraId="4B5DFE7F" w14:textId="3EDD90D3" w:rsidTr="00DA295B">
        <w:tc>
          <w:tcPr>
            <w:tcW w:w="3114" w:type="dxa"/>
            <w:tcBorders>
              <w:top w:val="single" w:sz="4" w:space="0" w:color="auto"/>
              <w:left w:val="single" w:sz="4" w:space="0" w:color="auto"/>
              <w:bottom w:val="single" w:sz="4" w:space="0" w:color="auto"/>
              <w:right w:val="single" w:sz="4" w:space="0" w:color="auto"/>
            </w:tcBorders>
            <w:hideMark/>
          </w:tcPr>
          <w:p w14:paraId="74AB7192" w14:textId="77777777" w:rsidR="008F4746" w:rsidRDefault="008F4746" w:rsidP="001D1D00">
            <w:pPr>
              <w:pStyle w:val="Corpsdetexte"/>
              <w:rPr>
                <w:rFonts w:ascii="Times New Roman" w:hAnsi="Times New Roman"/>
              </w:rPr>
            </w:pPr>
            <w:r>
              <w:rPr>
                <w:rFonts w:ascii="Times New Roman" w:hAnsi="Times New Roman"/>
              </w:rPr>
              <w:t>Quelles sont les règles d’enchaînement entre la MATT et la CAA</w:t>
            </w:r>
          </w:p>
          <w:p w14:paraId="122D2C28" w14:textId="2D711FA1" w:rsidR="008F4746" w:rsidRDefault="008F4746" w:rsidP="001D1D00">
            <w:pPr>
              <w:pStyle w:val="Corpsdetexte"/>
              <w:rPr>
                <w:rFonts w:ascii="Times New Roman" w:hAnsi="Times New Roman"/>
              </w:rPr>
            </w:pPr>
          </w:p>
        </w:tc>
        <w:tc>
          <w:tcPr>
            <w:tcW w:w="10348" w:type="dxa"/>
            <w:tcBorders>
              <w:top w:val="single" w:sz="4" w:space="0" w:color="auto"/>
              <w:left w:val="single" w:sz="4" w:space="0" w:color="auto"/>
              <w:bottom w:val="single" w:sz="4" w:space="0" w:color="auto"/>
              <w:right w:val="single" w:sz="4" w:space="0" w:color="auto"/>
            </w:tcBorders>
            <w:hideMark/>
          </w:tcPr>
          <w:p w14:paraId="6A03B5DF" w14:textId="4F20B80F" w:rsidR="008F4746" w:rsidRPr="008F4746" w:rsidRDefault="008F4746" w:rsidP="001D1D00">
            <w:pPr>
              <w:rPr>
                <w:i/>
                <w:sz w:val="24"/>
              </w:rPr>
            </w:pPr>
            <w:r w:rsidRPr="008F4746">
              <w:rPr>
                <w:i/>
                <w:sz w:val="24"/>
              </w:rPr>
              <w:t>Les personnes en MATT au 14 octobre 2019 désirant entrer dans le dispositif CAA doivent renoncer à la MATT avant le 15 novembre 2019 i</w:t>
            </w:r>
            <w:r w:rsidRPr="008F4746">
              <w:rPr>
                <w:b/>
                <w:i/>
                <w:sz w:val="24"/>
              </w:rPr>
              <w:t xml:space="preserve">nclus. </w:t>
            </w:r>
            <w:r w:rsidRPr="008F4746">
              <w:rPr>
                <w:i/>
                <w:sz w:val="24"/>
              </w:rPr>
              <w:t xml:space="preserve">Elles n’auront pas à rembourser les jours attribués par la CDC. </w:t>
            </w:r>
            <w:r w:rsidR="00EF4B1C" w:rsidRPr="007148F4">
              <w:rPr>
                <w:i/>
                <w:sz w:val="24"/>
              </w:rPr>
              <w:t>Elles ne bénéficieront pas de la dotation de jours de la CDC.</w:t>
            </w:r>
          </w:p>
          <w:p w14:paraId="2B6526D2" w14:textId="77777777" w:rsidR="008F4746" w:rsidRPr="008F4746" w:rsidRDefault="008F4746" w:rsidP="001D1D00">
            <w:pPr>
              <w:rPr>
                <w:rFonts w:ascii="Times New Roman" w:hAnsi="Times New Roman"/>
                <w:i/>
                <w:sz w:val="24"/>
              </w:rPr>
            </w:pPr>
            <w:r w:rsidRPr="008F4746">
              <w:rPr>
                <w:i/>
                <w:sz w:val="24"/>
              </w:rPr>
              <w:t xml:space="preserve">L’entrée dans la CAA ne peut pas conduire à ce que l’âge de départ à la retraite initialement prévu soit repoussé. </w:t>
            </w:r>
          </w:p>
          <w:p w14:paraId="628F14F6" w14:textId="5F96ECBF" w:rsidR="008F4746" w:rsidRDefault="008F4746" w:rsidP="001D1D00">
            <w:pPr>
              <w:rPr>
                <w:i/>
                <w:sz w:val="24"/>
              </w:rPr>
            </w:pPr>
            <w:r w:rsidRPr="008F4746">
              <w:rPr>
                <w:i/>
                <w:sz w:val="24"/>
              </w:rPr>
              <w:t>Les personnes qui entreront en MATT après le 14 octobre 2019 seront réputées renoncer à la CAA, et inversement, les collaborateurs qui entreront dans la CAA ne pourront plus revenir sur leur choix (même en cas de renoncement avec remboursement de l’employeur).</w:t>
            </w:r>
          </w:p>
          <w:p w14:paraId="3C053620" w14:textId="55FC4E81" w:rsidR="00E4490F" w:rsidRPr="008F4746" w:rsidRDefault="00E4490F" w:rsidP="001D1D00">
            <w:pPr>
              <w:rPr>
                <w:i/>
                <w:sz w:val="24"/>
              </w:rPr>
            </w:pPr>
            <w:r>
              <w:rPr>
                <w:i/>
                <w:sz w:val="24"/>
              </w:rPr>
              <w:t>L’entrée dans le dispositif CAA sera établie en fonction de la date de départ à la retraite initialement fixée dans le cadre de la MATT, soit un an ou deux ans avant cette échéance. A compter du 1</w:t>
            </w:r>
            <w:r w:rsidRPr="007148F4">
              <w:rPr>
                <w:i/>
                <w:sz w:val="24"/>
                <w:vertAlign w:val="superscript"/>
              </w:rPr>
              <w:t>er</w:t>
            </w:r>
            <w:r>
              <w:rPr>
                <w:i/>
                <w:sz w:val="24"/>
              </w:rPr>
              <w:t xml:space="preserve"> janvier 2020 – c’est- à dire sans attendre l’entrée dans le dispositif de CAA - les collaborateurs reprendront l’exercice de leurs fonctions </w:t>
            </w:r>
            <w:r w:rsidR="00532142">
              <w:rPr>
                <w:i/>
                <w:sz w:val="24"/>
              </w:rPr>
              <w:t>dans les conditions de droit commun (t</w:t>
            </w:r>
            <w:r>
              <w:rPr>
                <w:i/>
                <w:sz w:val="24"/>
              </w:rPr>
              <w:t>emps plein</w:t>
            </w:r>
            <w:r w:rsidR="00532142">
              <w:rPr>
                <w:i/>
                <w:sz w:val="24"/>
              </w:rPr>
              <w:t xml:space="preserve"> ou temps partiel de droit)</w:t>
            </w:r>
            <w:r>
              <w:rPr>
                <w:i/>
                <w:sz w:val="24"/>
              </w:rPr>
              <w:t xml:space="preserve">. </w:t>
            </w:r>
          </w:p>
          <w:p w14:paraId="262416EE" w14:textId="77777777" w:rsidR="008F4746" w:rsidRDefault="008F4746" w:rsidP="001D1D00">
            <w:pPr>
              <w:rPr>
                <w:i/>
                <w:color w:val="FF0000"/>
                <w:sz w:val="24"/>
              </w:rPr>
            </w:pPr>
          </w:p>
          <w:p w14:paraId="2FDAF609" w14:textId="77777777" w:rsidR="008F4746" w:rsidRDefault="008F4746" w:rsidP="001D1D00">
            <w:pPr>
              <w:rPr>
                <w:i/>
                <w:sz w:val="24"/>
              </w:rPr>
            </w:pPr>
          </w:p>
          <w:p w14:paraId="7E1D76A8" w14:textId="77777777" w:rsidR="008F4746" w:rsidRDefault="008F4746" w:rsidP="001D1D00">
            <w:pPr>
              <w:jc w:val="center"/>
              <w:rPr>
                <w:i/>
                <w:sz w:val="24"/>
              </w:rPr>
            </w:pPr>
          </w:p>
        </w:tc>
      </w:tr>
      <w:tr w:rsidR="008F4746" w14:paraId="6ACA888D" w14:textId="1B06FDDC" w:rsidTr="00DA295B">
        <w:tc>
          <w:tcPr>
            <w:tcW w:w="3114" w:type="dxa"/>
            <w:tcBorders>
              <w:top w:val="single" w:sz="4" w:space="0" w:color="auto"/>
              <w:left w:val="single" w:sz="4" w:space="0" w:color="auto"/>
              <w:bottom w:val="single" w:sz="4" w:space="0" w:color="auto"/>
              <w:right w:val="single" w:sz="4" w:space="0" w:color="auto"/>
            </w:tcBorders>
          </w:tcPr>
          <w:p w14:paraId="6FF92487" w14:textId="77777777" w:rsidR="008F4746" w:rsidRDefault="008F4746" w:rsidP="001D1D00">
            <w:pPr>
              <w:pStyle w:val="Corpsdetexte"/>
              <w:rPr>
                <w:rFonts w:ascii="Times New Roman" w:hAnsi="Times New Roman"/>
              </w:rPr>
            </w:pPr>
            <w:r>
              <w:rPr>
                <w:rFonts w:ascii="Times New Roman" w:hAnsi="Times New Roman"/>
              </w:rPr>
              <w:t>Ma MATT devait prendre fin en novembre 2020, puis-je bénéficier de la CAA ?</w:t>
            </w:r>
          </w:p>
          <w:p w14:paraId="43FB3971" w14:textId="77777777" w:rsidR="008F4746" w:rsidRDefault="008F4746" w:rsidP="001D1D00">
            <w:pPr>
              <w:pStyle w:val="Corpsdetexte"/>
              <w:rPr>
                <w:rFonts w:ascii="Times New Roman" w:hAnsi="Times New Roman"/>
              </w:rPr>
            </w:pPr>
          </w:p>
          <w:p w14:paraId="17D77B32" w14:textId="1273C7CF" w:rsidR="008F4746" w:rsidRPr="007069CC" w:rsidRDefault="008F4746" w:rsidP="001D1D00">
            <w:pPr>
              <w:pStyle w:val="Corpsdetexte"/>
              <w:rPr>
                <w:rFonts w:ascii="Times New Roman" w:hAnsi="Times New Roman"/>
                <w:sz w:val="22"/>
                <w:szCs w:val="22"/>
              </w:rPr>
            </w:pPr>
          </w:p>
        </w:tc>
        <w:tc>
          <w:tcPr>
            <w:tcW w:w="10348" w:type="dxa"/>
            <w:tcBorders>
              <w:top w:val="single" w:sz="4" w:space="0" w:color="auto"/>
              <w:left w:val="single" w:sz="4" w:space="0" w:color="auto"/>
              <w:bottom w:val="single" w:sz="4" w:space="0" w:color="auto"/>
              <w:right w:val="single" w:sz="4" w:space="0" w:color="auto"/>
            </w:tcBorders>
          </w:tcPr>
          <w:p w14:paraId="409DEA28" w14:textId="3541F87B" w:rsidR="008F4746" w:rsidRDefault="008F4746" w:rsidP="001D1D00">
            <w:pPr>
              <w:rPr>
                <w:i/>
                <w:sz w:val="24"/>
              </w:rPr>
            </w:pPr>
            <w:r>
              <w:rPr>
                <w:i/>
                <w:sz w:val="24"/>
              </w:rPr>
              <w:t>L’entrée dans la CAA au 1</w:t>
            </w:r>
            <w:r w:rsidRPr="007D6DD0">
              <w:rPr>
                <w:i/>
                <w:sz w:val="24"/>
                <w:vertAlign w:val="superscript"/>
              </w:rPr>
              <w:t>er</w:t>
            </w:r>
            <w:r>
              <w:rPr>
                <w:i/>
                <w:sz w:val="24"/>
              </w:rPr>
              <w:t xml:space="preserve"> janvier 2020 implique que votre départ à la retraite ait lieu au plus tôt le 31 décembre 2020. </w:t>
            </w:r>
          </w:p>
          <w:p w14:paraId="6F720862" w14:textId="3EE66924" w:rsidR="00E4490F" w:rsidRPr="00E4490F" w:rsidRDefault="00E4490F" w:rsidP="00E4490F">
            <w:pPr>
              <w:rPr>
                <w:i/>
                <w:sz w:val="24"/>
              </w:rPr>
            </w:pPr>
            <w:r>
              <w:rPr>
                <w:i/>
                <w:sz w:val="24"/>
              </w:rPr>
              <w:t xml:space="preserve"> A titre exceptionnel, </w:t>
            </w:r>
            <w:r w:rsidRPr="00E4490F">
              <w:rPr>
                <w:i/>
                <w:sz w:val="24"/>
              </w:rPr>
              <w:t>les collaborateurs en MATT devant partir à la retraite entre le 30 novembre et le 30 décembre 2020 pourront, s’ils le souhaitent, intégrer le dispositif de CAA pour une durée d’un an. Dans ce cas, ils seront placés en CAA à compter du 1</w:t>
            </w:r>
            <w:r w:rsidRPr="00E4490F">
              <w:rPr>
                <w:i/>
                <w:sz w:val="24"/>
                <w:vertAlign w:val="superscript"/>
              </w:rPr>
              <w:t>er</w:t>
            </w:r>
            <w:r w:rsidRPr="00E4490F">
              <w:rPr>
                <w:i/>
                <w:sz w:val="24"/>
              </w:rPr>
              <w:t xml:space="preserve"> janvier 2020 et devront partir à la retraite le </w:t>
            </w:r>
            <w:r w:rsidR="00EF4B1C">
              <w:rPr>
                <w:i/>
                <w:sz w:val="24"/>
              </w:rPr>
              <w:t>31 décembre 2020</w:t>
            </w:r>
            <w:r w:rsidRPr="00E4490F">
              <w:rPr>
                <w:i/>
                <w:sz w:val="24"/>
              </w:rPr>
              <w:t xml:space="preserve">. Ils devront en conséquence reporter, dans la limite d’un mois, leur date de départ à la retraite. </w:t>
            </w:r>
          </w:p>
          <w:p w14:paraId="23ED89C1" w14:textId="77777777" w:rsidR="008F4746" w:rsidRDefault="008F4746" w:rsidP="00F27282">
            <w:pPr>
              <w:rPr>
                <w:i/>
                <w:sz w:val="24"/>
              </w:rPr>
            </w:pPr>
          </w:p>
        </w:tc>
      </w:tr>
      <w:tr w:rsidR="008F4746" w14:paraId="793AD412" w14:textId="3B9B2AC6" w:rsidTr="00DA295B">
        <w:tc>
          <w:tcPr>
            <w:tcW w:w="3114" w:type="dxa"/>
            <w:tcBorders>
              <w:top w:val="single" w:sz="4" w:space="0" w:color="auto"/>
              <w:left w:val="single" w:sz="4" w:space="0" w:color="auto"/>
              <w:bottom w:val="single" w:sz="4" w:space="0" w:color="auto"/>
              <w:right w:val="single" w:sz="4" w:space="0" w:color="auto"/>
            </w:tcBorders>
          </w:tcPr>
          <w:p w14:paraId="76E58873" w14:textId="77777777" w:rsidR="008F4746" w:rsidRDefault="008F4746" w:rsidP="001D1D00">
            <w:pPr>
              <w:pStyle w:val="Corpsdetexte"/>
              <w:rPr>
                <w:rFonts w:ascii="Times New Roman" w:hAnsi="Times New Roman"/>
              </w:rPr>
            </w:pPr>
            <w:r>
              <w:rPr>
                <w:rFonts w:ascii="Times New Roman" w:hAnsi="Times New Roman"/>
              </w:rPr>
              <w:t>Ma MATT doit prendre fin en novembre 2021. Puis-je bénéficier de la CAA ?</w:t>
            </w:r>
          </w:p>
          <w:p w14:paraId="5EB08E19" w14:textId="77777777" w:rsidR="008F4746" w:rsidRDefault="008F4746" w:rsidP="001D1D00">
            <w:pPr>
              <w:pStyle w:val="Corpsdetexte"/>
              <w:rPr>
                <w:rFonts w:ascii="Times New Roman" w:hAnsi="Times New Roman"/>
              </w:rPr>
            </w:pPr>
          </w:p>
          <w:p w14:paraId="36484BB2" w14:textId="7EC51A26" w:rsidR="008F4746" w:rsidRPr="007069CC" w:rsidRDefault="008F4746" w:rsidP="001D1D00">
            <w:pPr>
              <w:pStyle w:val="Corpsdetexte"/>
              <w:rPr>
                <w:rFonts w:ascii="Times New Roman" w:hAnsi="Times New Roman"/>
                <w:sz w:val="20"/>
                <w:szCs w:val="20"/>
              </w:rPr>
            </w:pPr>
          </w:p>
        </w:tc>
        <w:tc>
          <w:tcPr>
            <w:tcW w:w="10348" w:type="dxa"/>
            <w:tcBorders>
              <w:top w:val="single" w:sz="4" w:space="0" w:color="auto"/>
              <w:left w:val="single" w:sz="4" w:space="0" w:color="auto"/>
              <w:bottom w:val="single" w:sz="4" w:space="0" w:color="auto"/>
              <w:right w:val="single" w:sz="4" w:space="0" w:color="auto"/>
            </w:tcBorders>
          </w:tcPr>
          <w:p w14:paraId="46D8762F" w14:textId="6E8CA72B" w:rsidR="008F4746" w:rsidRDefault="008F4746" w:rsidP="00F27282">
            <w:pPr>
              <w:rPr>
                <w:i/>
                <w:sz w:val="24"/>
              </w:rPr>
            </w:pPr>
            <w:r>
              <w:rPr>
                <w:i/>
                <w:sz w:val="24"/>
              </w:rPr>
              <w:lastRenderedPageBreak/>
              <w:t xml:space="preserve">Oui, il est possible d’enchaîner la MATT et la CAA, sous réserve de faire votre demande avant le 15 novembre 2019 et de </w:t>
            </w:r>
            <w:r w:rsidR="00E4490F">
              <w:rPr>
                <w:i/>
                <w:sz w:val="24"/>
              </w:rPr>
              <w:t xml:space="preserve">respecter la date de départ à la retraite initialement fixée dans le cadre de la </w:t>
            </w:r>
            <w:r w:rsidR="00E4490F">
              <w:rPr>
                <w:i/>
                <w:sz w:val="24"/>
              </w:rPr>
              <w:lastRenderedPageBreak/>
              <w:t xml:space="preserve">MATT. En l’espèce vous pourrez, si vous le souhaitez, entrer dans le dispositif de CAA à compter de novembre 2020 et bénéficier du dispositif en un an (6 mois d’activité, 6 mois de non activité). Vous partirez à la retraite en novembre 2021. </w:t>
            </w:r>
          </w:p>
        </w:tc>
      </w:tr>
      <w:tr w:rsidR="008F4746" w14:paraId="1CB0EBD7" w14:textId="78BAF30C" w:rsidTr="00DA295B">
        <w:tc>
          <w:tcPr>
            <w:tcW w:w="3114" w:type="dxa"/>
            <w:tcBorders>
              <w:top w:val="single" w:sz="4" w:space="0" w:color="auto"/>
              <w:left w:val="single" w:sz="4" w:space="0" w:color="auto"/>
              <w:bottom w:val="single" w:sz="4" w:space="0" w:color="auto"/>
              <w:right w:val="single" w:sz="4" w:space="0" w:color="auto"/>
            </w:tcBorders>
          </w:tcPr>
          <w:p w14:paraId="60E69F10" w14:textId="6A892EB8" w:rsidR="008F4746" w:rsidRDefault="008F4746" w:rsidP="001D1D00">
            <w:pPr>
              <w:pStyle w:val="Corpsdetexte"/>
              <w:rPr>
                <w:rFonts w:ascii="Times New Roman" w:hAnsi="Times New Roman"/>
              </w:rPr>
            </w:pPr>
            <w:r>
              <w:rPr>
                <w:rFonts w:ascii="Times New Roman" w:hAnsi="Times New Roman"/>
              </w:rPr>
              <w:lastRenderedPageBreak/>
              <w:t>Je suis entré en MATT le 1</w:t>
            </w:r>
            <w:r w:rsidRPr="00F4594D">
              <w:rPr>
                <w:rFonts w:ascii="Times New Roman" w:hAnsi="Times New Roman"/>
                <w:vertAlign w:val="superscript"/>
              </w:rPr>
              <w:t>er</w:t>
            </w:r>
            <w:r>
              <w:rPr>
                <w:rFonts w:ascii="Times New Roman" w:hAnsi="Times New Roman"/>
              </w:rPr>
              <w:t xml:space="preserve"> juin 2019. Ma MATT doit prendre fin en juin 2022. Puis-je bénéficier de la CAA ?</w:t>
            </w:r>
          </w:p>
          <w:p w14:paraId="0A7111A4" w14:textId="77777777" w:rsidR="008F4746" w:rsidRDefault="008F4746" w:rsidP="001D1D00">
            <w:pPr>
              <w:pStyle w:val="Corpsdetexte"/>
              <w:rPr>
                <w:rFonts w:ascii="Times New Roman" w:hAnsi="Times New Roman"/>
              </w:rPr>
            </w:pPr>
          </w:p>
          <w:p w14:paraId="2EBE787A" w14:textId="2BD2400E" w:rsidR="008F4746" w:rsidRPr="007069CC" w:rsidRDefault="008F4746" w:rsidP="001D1D00">
            <w:pPr>
              <w:pStyle w:val="Corpsdetexte"/>
              <w:rPr>
                <w:rFonts w:ascii="Times New Roman" w:hAnsi="Times New Roman"/>
                <w:sz w:val="20"/>
                <w:szCs w:val="20"/>
              </w:rPr>
            </w:pPr>
          </w:p>
        </w:tc>
        <w:tc>
          <w:tcPr>
            <w:tcW w:w="10348" w:type="dxa"/>
            <w:tcBorders>
              <w:top w:val="single" w:sz="4" w:space="0" w:color="auto"/>
              <w:left w:val="single" w:sz="4" w:space="0" w:color="auto"/>
              <w:bottom w:val="single" w:sz="4" w:space="0" w:color="auto"/>
              <w:right w:val="single" w:sz="4" w:space="0" w:color="auto"/>
            </w:tcBorders>
          </w:tcPr>
          <w:p w14:paraId="6BB8696A" w14:textId="0AC21FDD" w:rsidR="008F4746" w:rsidRDefault="008F4746" w:rsidP="001D1D00">
            <w:pPr>
              <w:rPr>
                <w:i/>
                <w:sz w:val="24"/>
              </w:rPr>
            </w:pPr>
            <w:r>
              <w:rPr>
                <w:i/>
                <w:sz w:val="24"/>
              </w:rPr>
              <w:t xml:space="preserve">Oui, il est possible d’enchaîner la </w:t>
            </w:r>
            <w:r w:rsidRPr="008F4746">
              <w:rPr>
                <w:i/>
                <w:sz w:val="24"/>
              </w:rPr>
              <w:t xml:space="preserve">MATT et la CAA, sous réserve de faire votre demande avant le 15 novembre 2019 et </w:t>
            </w:r>
            <w:r w:rsidR="00E4490F">
              <w:rPr>
                <w:i/>
                <w:sz w:val="24"/>
              </w:rPr>
              <w:t xml:space="preserve">de respecter la date de départ à la retraite initialement fixée dans le cadre de la MATT. En l’espèce vous pourrez, si vous le souhaitez, entrer dans le dispositif de CAA à compter de juin 2020 et bénéficier du dispositif en deux ans (12 mois d’activité, 12 mois de non activité). Vous partirez à la retraite </w:t>
            </w:r>
            <w:r w:rsidR="00EF4B1C">
              <w:rPr>
                <w:i/>
                <w:sz w:val="24"/>
              </w:rPr>
              <w:t xml:space="preserve">le 31 mai </w:t>
            </w:r>
            <w:r w:rsidR="00E4490F">
              <w:rPr>
                <w:i/>
                <w:sz w:val="24"/>
              </w:rPr>
              <w:t xml:space="preserve">2022.  </w:t>
            </w:r>
          </w:p>
        </w:tc>
      </w:tr>
      <w:tr w:rsidR="008F4746" w14:paraId="3A0C709E" w14:textId="2376569C" w:rsidTr="00DA295B">
        <w:tc>
          <w:tcPr>
            <w:tcW w:w="3114" w:type="dxa"/>
            <w:tcBorders>
              <w:top w:val="single" w:sz="4" w:space="0" w:color="auto"/>
              <w:left w:val="single" w:sz="4" w:space="0" w:color="auto"/>
              <w:bottom w:val="single" w:sz="4" w:space="0" w:color="auto"/>
              <w:right w:val="single" w:sz="4" w:space="0" w:color="auto"/>
            </w:tcBorders>
          </w:tcPr>
          <w:p w14:paraId="4A5452F9" w14:textId="7DE4CE11" w:rsidR="008F4746" w:rsidRDefault="00D56688" w:rsidP="001D1D00">
            <w:pPr>
              <w:pStyle w:val="Corpsdetexte"/>
              <w:rPr>
                <w:rFonts w:ascii="Times New Roman" w:hAnsi="Times New Roman"/>
              </w:rPr>
            </w:pPr>
            <w:r>
              <w:rPr>
                <w:rFonts w:ascii="Times New Roman" w:hAnsi="Times New Roman"/>
              </w:rPr>
              <w:t>J’étais entré dans la MATT puis en suis sorti en remboursant la contribution employeur, puis-je bénéficier de la CAA</w:t>
            </w:r>
          </w:p>
        </w:tc>
        <w:tc>
          <w:tcPr>
            <w:tcW w:w="10348" w:type="dxa"/>
            <w:tcBorders>
              <w:top w:val="single" w:sz="4" w:space="0" w:color="auto"/>
              <w:left w:val="single" w:sz="4" w:space="0" w:color="auto"/>
              <w:bottom w:val="single" w:sz="4" w:space="0" w:color="auto"/>
              <w:right w:val="single" w:sz="4" w:space="0" w:color="auto"/>
            </w:tcBorders>
          </w:tcPr>
          <w:p w14:paraId="1FFFF952" w14:textId="5A49837B" w:rsidR="008F4746" w:rsidRDefault="00D56688" w:rsidP="001D1D00">
            <w:pPr>
              <w:rPr>
                <w:i/>
                <w:sz w:val="24"/>
              </w:rPr>
            </w:pPr>
            <w:r>
              <w:rPr>
                <w:i/>
                <w:sz w:val="24"/>
              </w:rPr>
              <w:t>Oui, à condition de respecter la date de départ à la retraite sur laquelle vous vous étiez engagé à partir au moment de votre entrée dans la MATT (soit la date d’entrée dans la MATT + 3 ans maximum)</w:t>
            </w:r>
          </w:p>
        </w:tc>
      </w:tr>
      <w:tr w:rsidR="008F4746" w14:paraId="6D6CED7C" w14:textId="127EC239" w:rsidTr="00DA295B">
        <w:tc>
          <w:tcPr>
            <w:tcW w:w="3114" w:type="dxa"/>
            <w:tcBorders>
              <w:top w:val="single" w:sz="4" w:space="0" w:color="auto"/>
              <w:left w:val="single" w:sz="4" w:space="0" w:color="auto"/>
              <w:bottom w:val="single" w:sz="4" w:space="0" w:color="auto"/>
              <w:right w:val="single" w:sz="4" w:space="0" w:color="auto"/>
            </w:tcBorders>
            <w:hideMark/>
          </w:tcPr>
          <w:p w14:paraId="0A492F39" w14:textId="77777777" w:rsidR="008F4746" w:rsidRDefault="008F4746" w:rsidP="001D1D00">
            <w:pPr>
              <w:rPr>
                <w:sz w:val="24"/>
              </w:rPr>
            </w:pPr>
            <w:r>
              <w:rPr>
                <w:sz w:val="24"/>
              </w:rPr>
              <w:t>Que deviennent les jours CET, les jours médaille et les jours « carrière longue »</w:t>
            </w:r>
          </w:p>
        </w:tc>
        <w:tc>
          <w:tcPr>
            <w:tcW w:w="10348" w:type="dxa"/>
            <w:tcBorders>
              <w:top w:val="single" w:sz="4" w:space="0" w:color="auto"/>
              <w:left w:val="single" w:sz="4" w:space="0" w:color="auto"/>
              <w:bottom w:val="single" w:sz="4" w:space="0" w:color="auto"/>
              <w:right w:val="single" w:sz="4" w:space="0" w:color="auto"/>
            </w:tcBorders>
            <w:hideMark/>
          </w:tcPr>
          <w:p w14:paraId="34A55EAC" w14:textId="2E7DF35B" w:rsidR="008F4746" w:rsidRDefault="008F4746" w:rsidP="001D1D00">
            <w:pPr>
              <w:rPr>
                <w:i/>
                <w:sz w:val="24"/>
              </w:rPr>
            </w:pPr>
            <w:r w:rsidRPr="008F4746">
              <w:rPr>
                <w:i/>
                <w:sz w:val="24"/>
                <w:szCs w:val="24"/>
              </w:rPr>
              <w:t>Hors dispositions transitoires</w:t>
            </w:r>
            <w:r w:rsidRPr="008F4746">
              <w:rPr>
                <w:i/>
                <w:sz w:val="24"/>
              </w:rPr>
              <w:t>, ces jours doivent être consommés</w:t>
            </w:r>
            <w:r>
              <w:rPr>
                <w:i/>
                <w:sz w:val="24"/>
              </w:rPr>
              <w:t xml:space="preserve"> ou consacrés, soit à l’amélioration de la rémunération, soit, pour les personnes </w:t>
            </w:r>
            <w:r w:rsidR="00EF4B1C">
              <w:rPr>
                <w:i/>
                <w:sz w:val="24"/>
              </w:rPr>
              <w:t xml:space="preserve">à </w:t>
            </w:r>
            <w:r>
              <w:rPr>
                <w:i/>
                <w:sz w:val="24"/>
              </w:rPr>
              <w:t xml:space="preserve"> temps partiel, à « financer » la possibilité de ne travailler que 4 jours sur 5 pendant la première période du dispositif. Après ce choix, aucun jour CET ne sera conservé pour un autre usage.</w:t>
            </w:r>
          </w:p>
          <w:p w14:paraId="472DB278" w14:textId="77777777" w:rsidR="008F4746" w:rsidRDefault="008F4746" w:rsidP="001D1D00">
            <w:pPr>
              <w:rPr>
                <w:i/>
                <w:sz w:val="24"/>
              </w:rPr>
            </w:pPr>
            <w:r>
              <w:rPr>
                <w:i/>
                <w:sz w:val="24"/>
              </w:rPr>
              <w:t>A noter, les jours médailles qui devraient être acquis après l’entrée dans le dispositif sont intégrés dans les compteurs à titre anticipé.</w:t>
            </w:r>
          </w:p>
          <w:p w14:paraId="3F247219" w14:textId="30EDAE05" w:rsidR="008F4746" w:rsidRDefault="008F4746" w:rsidP="001D1D00">
            <w:pPr>
              <w:rPr>
                <w:i/>
                <w:sz w:val="24"/>
              </w:rPr>
            </w:pPr>
            <w:r>
              <w:rPr>
                <w:i/>
                <w:sz w:val="24"/>
              </w:rPr>
              <w:t xml:space="preserve">Les jours « carrière longue » peuvent aussi être anticipés sous réserve que le départ réel à la retraite soit prévu avant que la personne n’atteigne l’âge légal de son départ à la retraite, et en tout état de cause, </w:t>
            </w:r>
            <w:r w:rsidR="00EF4B1C">
              <w:rPr>
                <w:i/>
                <w:sz w:val="24"/>
              </w:rPr>
              <w:t xml:space="preserve">jusqu’au </w:t>
            </w:r>
            <w:r>
              <w:rPr>
                <w:i/>
                <w:sz w:val="24"/>
              </w:rPr>
              <w:t>31 décembre 2021.</w:t>
            </w:r>
          </w:p>
          <w:p w14:paraId="7439EE03" w14:textId="77777777" w:rsidR="008F4746" w:rsidRDefault="008F4746" w:rsidP="001D1D00">
            <w:pPr>
              <w:rPr>
                <w:i/>
                <w:sz w:val="24"/>
              </w:rPr>
            </w:pPr>
          </w:p>
        </w:tc>
      </w:tr>
      <w:tr w:rsidR="008F4746" w14:paraId="035C372F" w14:textId="784B7539" w:rsidTr="00DA295B">
        <w:tc>
          <w:tcPr>
            <w:tcW w:w="3114" w:type="dxa"/>
            <w:tcBorders>
              <w:top w:val="single" w:sz="4" w:space="0" w:color="auto"/>
              <w:left w:val="single" w:sz="4" w:space="0" w:color="auto"/>
              <w:bottom w:val="single" w:sz="4" w:space="0" w:color="auto"/>
              <w:right w:val="single" w:sz="4" w:space="0" w:color="auto"/>
            </w:tcBorders>
            <w:hideMark/>
          </w:tcPr>
          <w:p w14:paraId="06DFACC1" w14:textId="77777777" w:rsidR="008F4746" w:rsidRDefault="008F4746" w:rsidP="001D1D00">
            <w:pPr>
              <w:rPr>
                <w:sz w:val="24"/>
              </w:rPr>
            </w:pPr>
            <w:r>
              <w:rPr>
                <w:sz w:val="24"/>
              </w:rPr>
              <w:t>La seconde période (celle de non activité) permet-elle de générer des jours de congé, RTT, DG…</w:t>
            </w:r>
          </w:p>
        </w:tc>
        <w:tc>
          <w:tcPr>
            <w:tcW w:w="10348" w:type="dxa"/>
            <w:tcBorders>
              <w:top w:val="single" w:sz="4" w:space="0" w:color="auto"/>
              <w:left w:val="single" w:sz="4" w:space="0" w:color="auto"/>
              <w:bottom w:val="single" w:sz="4" w:space="0" w:color="auto"/>
              <w:right w:val="single" w:sz="4" w:space="0" w:color="auto"/>
            </w:tcBorders>
            <w:hideMark/>
          </w:tcPr>
          <w:p w14:paraId="4DF32195" w14:textId="77777777" w:rsidR="008F4746" w:rsidRDefault="008F4746" w:rsidP="001D1D00">
            <w:pPr>
              <w:rPr>
                <w:i/>
                <w:sz w:val="24"/>
              </w:rPr>
            </w:pPr>
            <w:r>
              <w:rPr>
                <w:i/>
                <w:sz w:val="24"/>
              </w:rPr>
              <w:t>Non</w:t>
            </w:r>
          </w:p>
        </w:tc>
      </w:tr>
      <w:tr w:rsidR="008F4746" w14:paraId="0C8AE380" w14:textId="0E2A670A" w:rsidTr="00DA295B">
        <w:tc>
          <w:tcPr>
            <w:tcW w:w="3114" w:type="dxa"/>
            <w:tcBorders>
              <w:top w:val="single" w:sz="4" w:space="0" w:color="auto"/>
              <w:left w:val="single" w:sz="4" w:space="0" w:color="auto"/>
              <w:bottom w:val="single" w:sz="4" w:space="0" w:color="auto"/>
              <w:right w:val="single" w:sz="4" w:space="0" w:color="auto"/>
            </w:tcBorders>
            <w:hideMark/>
          </w:tcPr>
          <w:p w14:paraId="03BDC8B1" w14:textId="1961D09F" w:rsidR="008F4746" w:rsidRDefault="008F4746" w:rsidP="001D1D00">
            <w:pPr>
              <w:rPr>
                <w:sz w:val="24"/>
              </w:rPr>
            </w:pPr>
            <w:r>
              <w:rPr>
                <w:sz w:val="24"/>
              </w:rPr>
              <w:t xml:space="preserve">La période de non activité permet-elle d’acquérir de l’ancienneté (calcul de l’IDR, </w:t>
            </w:r>
            <w:r>
              <w:rPr>
                <w:sz w:val="24"/>
              </w:rPr>
              <w:lastRenderedPageBreak/>
              <w:t>médailles du travail, médaille CDC, ou avancements d’échelon / grade / classe)</w:t>
            </w:r>
          </w:p>
        </w:tc>
        <w:tc>
          <w:tcPr>
            <w:tcW w:w="10348" w:type="dxa"/>
            <w:tcBorders>
              <w:top w:val="single" w:sz="4" w:space="0" w:color="auto"/>
              <w:left w:val="single" w:sz="4" w:space="0" w:color="auto"/>
              <w:bottom w:val="single" w:sz="4" w:space="0" w:color="auto"/>
              <w:right w:val="single" w:sz="4" w:space="0" w:color="auto"/>
            </w:tcBorders>
            <w:hideMark/>
          </w:tcPr>
          <w:p w14:paraId="22C8CDC6" w14:textId="77777777" w:rsidR="008F4746" w:rsidRDefault="008F4746" w:rsidP="001D1D00">
            <w:pPr>
              <w:rPr>
                <w:i/>
                <w:sz w:val="24"/>
              </w:rPr>
            </w:pPr>
            <w:r>
              <w:rPr>
                <w:i/>
                <w:sz w:val="24"/>
              </w:rPr>
              <w:lastRenderedPageBreak/>
              <w:t>Oui</w:t>
            </w:r>
          </w:p>
        </w:tc>
      </w:tr>
      <w:tr w:rsidR="008F4746" w14:paraId="2B3DC143" w14:textId="2C083639" w:rsidTr="00DA295B">
        <w:tc>
          <w:tcPr>
            <w:tcW w:w="3114" w:type="dxa"/>
            <w:tcBorders>
              <w:top w:val="single" w:sz="4" w:space="0" w:color="auto"/>
              <w:left w:val="single" w:sz="4" w:space="0" w:color="auto"/>
              <w:bottom w:val="single" w:sz="4" w:space="0" w:color="auto"/>
              <w:right w:val="single" w:sz="4" w:space="0" w:color="auto"/>
            </w:tcBorders>
          </w:tcPr>
          <w:p w14:paraId="47464C50" w14:textId="38A7467D" w:rsidR="008F4746" w:rsidRDefault="008F4746" w:rsidP="001D1D00">
            <w:pPr>
              <w:rPr>
                <w:sz w:val="24"/>
              </w:rPr>
            </w:pPr>
            <w:r>
              <w:rPr>
                <w:sz w:val="24"/>
              </w:rPr>
              <w:t>Ce dispositif a-t-il un impact sur les collaborateurs entrés dans le dispositif financier de fin de carrière (accord du 6 juillet 2017)</w:t>
            </w:r>
          </w:p>
          <w:p w14:paraId="6EEA7658" w14:textId="77777777" w:rsidR="008F4746" w:rsidRDefault="008F4746" w:rsidP="001D1D00">
            <w:pPr>
              <w:rPr>
                <w:sz w:val="24"/>
              </w:rPr>
            </w:pPr>
          </w:p>
        </w:tc>
        <w:tc>
          <w:tcPr>
            <w:tcW w:w="10348" w:type="dxa"/>
            <w:tcBorders>
              <w:top w:val="single" w:sz="4" w:space="0" w:color="auto"/>
              <w:left w:val="single" w:sz="4" w:space="0" w:color="auto"/>
              <w:bottom w:val="single" w:sz="4" w:space="0" w:color="auto"/>
              <w:right w:val="single" w:sz="4" w:space="0" w:color="auto"/>
            </w:tcBorders>
            <w:hideMark/>
          </w:tcPr>
          <w:p w14:paraId="33CB13A4" w14:textId="77777777" w:rsidR="008F4746" w:rsidRDefault="008F4746" w:rsidP="001D1D00">
            <w:pPr>
              <w:rPr>
                <w:i/>
                <w:sz w:val="24"/>
              </w:rPr>
            </w:pPr>
            <w:r>
              <w:rPr>
                <w:i/>
                <w:sz w:val="24"/>
              </w:rPr>
              <w:t>Il est possible de cumuler les deux dispositifs.</w:t>
            </w:r>
          </w:p>
          <w:p w14:paraId="10BD5638" w14:textId="77777777" w:rsidR="008F4746" w:rsidRDefault="008F4746" w:rsidP="001D1D00">
            <w:pPr>
              <w:rPr>
                <w:i/>
                <w:sz w:val="24"/>
              </w:rPr>
            </w:pPr>
            <w:r>
              <w:rPr>
                <w:i/>
                <w:sz w:val="24"/>
              </w:rPr>
              <w:t>Il n’y a rien de changé pour le volet financier, c’est-à-dire le calcul de l’indemnité de départ à la retraite et l’abondement majoré PERCO.</w:t>
            </w:r>
          </w:p>
          <w:p w14:paraId="4AA15B70" w14:textId="77777777" w:rsidR="008F4746" w:rsidRDefault="008F4746" w:rsidP="001D1D00">
            <w:pPr>
              <w:rPr>
                <w:i/>
                <w:sz w:val="24"/>
              </w:rPr>
            </w:pPr>
            <w:r>
              <w:rPr>
                <w:i/>
                <w:sz w:val="24"/>
              </w:rPr>
              <w:t>Les jours carrière longue peuvent être intégrés dans le calcul des jours servant à financer l’aménagement du dispositif (voir ci-dessus) si la personne part avant la date légale de retraite, et que ce départ ait lieu au plus tard le 31 décembre 2021.</w:t>
            </w:r>
          </w:p>
        </w:tc>
      </w:tr>
      <w:tr w:rsidR="008F4746" w14:paraId="76C3BF3A" w14:textId="0F928846" w:rsidTr="00DA295B">
        <w:tc>
          <w:tcPr>
            <w:tcW w:w="3114" w:type="dxa"/>
            <w:tcBorders>
              <w:top w:val="single" w:sz="4" w:space="0" w:color="auto"/>
              <w:left w:val="single" w:sz="4" w:space="0" w:color="auto"/>
              <w:bottom w:val="single" w:sz="4" w:space="0" w:color="auto"/>
              <w:right w:val="single" w:sz="4" w:space="0" w:color="auto"/>
            </w:tcBorders>
          </w:tcPr>
          <w:p w14:paraId="7B2BFE8E" w14:textId="77777777" w:rsidR="008F4746" w:rsidRDefault="008F4746" w:rsidP="001D1D00">
            <w:pPr>
              <w:pStyle w:val="Corpsdetexte"/>
              <w:rPr>
                <w:rFonts w:ascii="Times New Roman" w:hAnsi="Times New Roman"/>
              </w:rPr>
            </w:pPr>
            <w:r>
              <w:rPr>
                <w:rFonts w:ascii="Times New Roman" w:hAnsi="Times New Roman"/>
              </w:rPr>
              <w:t>Peut-on placer des jours CET sur le PERCO ?</w:t>
            </w:r>
          </w:p>
          <w:p w14:paraId="61D177E8" w14:textId="77777777" w:rsidR="008F4746" w:rsidRDefault="008F4746" w:rsidP="001D1D00">
            <w:pPr>
              <w:pStyle w:val="Corpsdetexte"/>
              <w:rPr>
                <w:rFonts w:ascii="Times New Roman" w:hAnsi="Times New Roman"/>
              </w:rPr>
            </w:pPr>
          </w:p>
        </w:tc>
        <w:tc>
          <w:tcPr>
            <w:tcW w:w="10348" w:type="dxa"/>
            <w:tcBorders>
              <w:top w:val="single" w:sz="4" w:space="0" w:color="auto"/>
              <w:left w:val="single" w:sz="4" w:space="0" w:color="auto"/>
              <w:bottom w:val="single" w:sz="4" w:space="0" w:color="auto"/>
              <w:right w:val="single" w:sz="4" w:space="0" w:color="auto"/>
            </w:tcBorders>
            <w:hideMark/>
          </w:tcPr>
          <w:p w14:paraId="3BF1F5E5" w14:textId="77777777" w:rsidR="008F4746" w:rsidRDefault="008F4746" w:rsidP="001D1D00">
            <w:pPr>
              <w:rPr>
                <w:i/>
                <w:sz w:val="24"/>
              </w:rPr>
            </w:pPr>
            <w:r>
              <w:rPr>
                <w:i/>
                <w:sz w:val="24"/>
              </w:rPr>
              <w:t>Non, après l’entrée dans le dispositif, il n’est plus possible d’acquérir des jours de CET ni d’en placer sur le PEE ou le PERCO.</w:t>
            </w:r>
          </w:p>
          <w:p w14:paraId="4C731A46" w14:textId="77777777" w:rsidR="008F4746" w:rsidRDefault="008F4746" w:rsidP="001D1D00">
            <w:pPr>
              <w:rPr>
                <w:rFonts w:ascii="Times New Roman" w:hAnsi="Times New Roman"/>
                <w:i/>
                <w:sz w:val="24"/>
              </w:rPr>
            </w:pPr>
            <w:r>
              <w:rPr>
                <w:i/>
                <w:sz w:val="24"/>
              </w:rPr>
              <w:t>Durant les mesures transitoires, les personnes inscrites seront exclues de la campagne de placements de jours CET, c’est-à-dire fin 2019 début 2020.</w:t>
            </w:r>
          </w:p>
        </w:tc>
      </w:tr>
      <w:tr w:rsidR="008F4746" w14:paraId="032B16C8" w14:textId="2AC33B6A" w:rsidTr="00DA295B">
        <w:tc>
          <w:tcPr>
            <w:tcW w:w="3114" w:type="dxa"/>
            <w:tcBorders>
              <w:top w:val="single" w:sz="4" w:space="0" w:color="auto"/>
              <w:left w:val="single" w:sz="4" w:space="0" w:color="auto"/>
              <w:bottom w:val="single" w:sz="4" w:space="0" w:color="auto"/>
              <w:right w:val="single" w:sz="4" w:space="0" w:color="auto"/>
            </w:tcBorders>
            <w:hideMark/>
          </w:tcPr>
          <w:p w14:paraId="4E8BFF11" w14:textId="77777777" w:rsidR="008F4746" w:rsidRDefault="008F4746" w:rsidP="001D1D00">
            <w:pPr>
              <w:pStyle w:val="Corpsdetexte"/>
              <w:rPr>
                <w:rFonts w:ascii="Times New Roman" w:hAnsi="Times New Roman"/>
              </w:rPr>
            </w:pPr>
            <w:r>
              <w:rPr>
                <w:rFonts w:ascii="Times New Roman" w:hAnsi="Times New Roman"/>
              </w:rPr>
              <w:t>En cas de réussite à un concours, peut-on prolonger son activité de 6 mois ?</w:t>
            </w:r>
          </w:p>
        </w:tc>
        <w:tc>
          <w:tcPr>
            <w:tcW w:w="10348" w:type="dxa"/>
            <w:tcBorders>
              <w:top w:val="single" w:sz="4" w:space="0" w:color="auto"/>
              <w:left w:val="single" w:sz="4" w:space="0" w:color="auto"/>
              <w:bottom w:val="single" w:sz="4" w:space="0" w:color="auto"/>
              <w:right w:val="single" w:sz="4" w:space="0" w:color="auto"/>
            </w:tcBorders>
            <w:hideMark/>
          </w:tcPr>
          <w:p w14:paraId="6BC517B3" w14:textId="77777777" w:rsidR="008F4746" w:rsidRDefault="008F4746" w:rsidP="001D1D00">
            <w:pPr>
              <w:rPr>
                <w:rFonts w:ascii="Times New Roman" w:hAnsi="Times New Roman"/>
                <w:i/>
                <w:sz w:val="24"/>
              </w:rPr>
            </w:pPr>
            <w:r>
              <w:rPr>
                <w:i/>
                <w:sz w:val="24"/>
              </w:rPr>
              <w:t>Non, l’engagement de partir à la retraite à la fin de la CAA est ferme et définitif.</w:t>
            </w:r>
          </w:p>
        </w:tc>
      </w:tr>
      <w:tr w:rsidR="008F4746" w14:paraId="55031612" w14:textId="49DA986A" w:rsidTr="00DA295B">
        <w:tc>
          <w:tcPr>
            <w:tcW w:w="3114" w:type="dxa"/>
            <w:tcBorders>
              <w:top w:val="single" w:sz="4" w:space="0" w:color="auto"/>
              <w:left w:val="single" w:sz="4" w:space="0" w:color="auto"/>
              <w:bottom w:val="single" w:sz="4" w:space="0" w:color="auto"/>
              <w:right w:val="single" w:sz="4" w:space="0" w:color="auto"/>
            </w:tcBorders>
            <w:hideMark/>
          </w:tcPr>
          <w:p w14:paraId="2715A7BC" w14:textId="77777777" w:rsidR="008F4746" w:rsidRPr="008F4746" w:rsidRDefault="008F4746" w:rsidP="001D1D00">
            <w:pPr>
              <w:pStyle w:val="Corpsdetexte"/>
              <w:rPr>
                <w:rFonts w:ascii="Times New Roman" w:hAnsi="Times New Roman"/>
              </w:rPr>
            </w:pPr>
            <w:r w:rsidRPr="008F4746">
              <w:rPr>
                <w:rFonts w:ascii="Times New Roman" w:hAnsi="Times New Roman"/>
              </w:rPr>
              <w:t>Quid des avancements durant ces périodes ? A-t-on le droit aux augmentations (cf. Convention collective et accord-cadre) et comment cela s’impacte-t-il ?</w:t>
            </w:r>
          </w:p>
        </w:tc>
        <w:tc>
          <w:tcPr>
            <w:tcW w:w="10348" w:type="dxa"/>
            <w:tcBorders>
              <w:top w:val="single" w:sz="4" w:space="0" w:color="auto"/>
              <w:left w:val="single" w:sz="4" w:space="0" w:color="auto"/>
              <w:bottom w:val="single" w:sz="4" w:space="0" w:color="auto"/>
              <w:right w:val="single" w:sz="4" w:space="0" w:color="auto"/>
            </w:tcBorders>
            <w:hideMark/>
          </w:tcPr>
          <w:p w14:paraId="04D0B02B" w14:textId="19984AD4" w:rsidR="008F4746" w:rsidRPr="00E72CBD" w:rsidRDefault="008F4746" w:rsidP="001D1D00">
            <w:pPr>
              <w:rPr>
                <w:i/>
                <w:sz w:val="24"/>
              </w:rPr>
            </w:pPr>
            <w:r>
              <w:rPr>
                <w:i/>
                <w:sz w:val="24"/>
              </w:rPr>
              <w:t>L</w:t>
            </w:r>
            <w:r w:rsidRPr="00E72CBD">
              <w:rPr>
                <w:i/>
                <w:sz w:val="24"/>
              </w:rPr>
              <w:t>es collaborateurs conservent tous leurs droits à évolution professionnelle (avancement</w:t>
            </w:r>
            <w:r>
              <w:rPr>
                <w:i/>
                <w:sz w:val="24"/>
              </w:rPr>
              <w:t>,</w:t>
            </w:r>
            <w:r w:rsidRPr="00E72CBD">
              <w:rPr>
                <w:i/>
                <w:sz w:val="24"/>
              </w:rPr>
              <w:t xml:space="preserve"> promotions , points…)</w:t>
            </w:r>
            <w:r>
              <w:rPr>
                <w:i/>
                <w:sz w:val="24"/>
              </w:rPr>
              <w:t xml:space="preserve"> au cours du dispositif. </w:t>
            </w:r>
          </w:p>
        </w:tc>
      </w:tr>
      <w:tr w:rsidR="008F4746" w14:paraId="22E7CA1A" w14:textId="09F95257" w:rsidTr="00DA295B">
        <w:tc>
          <w:tcPr>
            <w:tcW w:w="3114" w:type="dxa"/>
            <w:tcBorders>
              <w:top w:val="single" w:sz="4" w:space="0" w:color="auto"/>
              <w:left w:val="single" w:sz="4" w:space="0" w:color="auto"/>
              <w:bottom w:val="single" w:sz="4" w:space="0" w:color="auto"/>
              <w:right w:val="single" w:sz="4" w:space="0" w:color="auto"/>
            </w:tcBorders>
            <w:hideMark/>
          </w:tcPr>
          <w:p w14:paraId="72729012" w14:textId="19A8E990" w:rsidR="008F4746" w:rsidRPr="008F4746" w:rsidRDefault="008F4746" w:rsidP="001D1D00">
            <w:pPr>
              <w:pStyle w:val="Corpsdetexte"/>
              <w:rPr>
                <w:rFonts w:ascii="Times New Roman" w:hAnsi="Times New Roman"/>
              </w:rPr>
            </w:pPr>
            <w:r w:rsidRPr="008F4746">
              <w:rPr>
                <w:rFonts w:ascii="Times New Roman" w:hAnsi="Times New Roman"/>
              </w:rPr>
              <w:t>Quid de la  PFT. est – on éligible à la campagne annuelle  ?</w:t>
            </w:r>
          </w:p>
        </w:tc>
        <w:tc>
          <w:tcPr>
            <w:tcW w:w="10348" w:type="dxa"/>
            <w:tcBorders>
              <w:top w:val="single" w:sz="4" w:space="0" w:color="auto"/>
              <w:left w:val="single" w:sz="4" w:space="0" w:color="auto"/>
              <w:bottom w:val="single" w:sz="4" w:space="0" w:color="auto"/>
              <w:right w:val="single" w:sz="4" w:space="0" w:color="auto"/>
            </w:tcBorders>
            <w:hideMark/>
          </w:tcPr>
          <w:p w14:paraId="0E7112B8" w14:textId="794D0DC1" w:rsidR="008F4746" w:rsidRPr="00164498" w:rsidRDefault="008F4746" w:rsidP="001D1D00">
            <w:pPr>
              <w:rPr>
                <w:b/>
                <w:sz w:val="20"/>
                <w:szCs w:val="20"/>
              </w:rPr>
            </w:pPr>
            <w:r>
              <w:rPr>
                <w:i/>
                <w:sz w:val="24"/>
              </w:rPr>
              <w:t xml:space="preserve">Oui selon les modalités de la circulaire PFT. </w:t>
            </w:r>
          </w:p>
        </w:tc>
      </w:tr>
      <w:tr w:rsidR="008F4746" w14:paraId="21808C05" w14:textId="1F9A8BF0" w:rsidTr="00DA295B">
        <w:tc>
          <w:tcPr>
            <w:tcW w:w="3114" w:type="dxa"/>
            <w:tcBorders>
              <w:top w:val="single" w:sz="4" w:space="0" w:color="auto"/>
              <w:left w:val="single" w:sz="4" w:space="0" w:color="auto"/>
              <w:bottom w:val="single" w:sz="4" w:space="0" w:color="auto"/>
              <w:right w:val="single" w:sz="4" w:space="0" w:color="auto"/>
            </w:tcBorders>
          </w:tcPr>
          <w:p w14:paraId="31411632" w14:textId="1C1590F0" w:rsidR="008F4746" w:rsidRPr="008F4746" w:rsidRDefault="008F4746" w:rsidP="001D1D00">
            <w:pPr>
              <w:pStyle w:val="Corpsdetexte"/>
              <w:rPr>
                <w:rFonts w:ascii="Times New Roman" w:hAnsi="Times New Roman"/>
              </w:rPr>
            </w:pPr>
            <w:r w:rsidRPr="008F4746">
              <w:rPr>
                <w:rFonts w:ascii="Times New Roman" w:hAnsi="Times New Roman"/>
              </w:rPr>
              <w:t>Que se passe-t-il si le collaborateur ne veut ou ne peut plus partir à la retraite à la fin du dispositif, pour des raisons personnelles ?</w:t>
            </w:r>
          </w:p>
        </w:tc>
        <w:tc>
          <w:tcPr>
            <w:tcW w:w="10348" w:type="dxa"/>
            <w:tcBorders>
              <w:top w:val="single" w:sz="4" w:space="0" w:color="auto"/>
              <w:left w:val="single" w:sz="4" w:space="0" w:color="auto"/>
              <w:bottom w:val="single" w:sz="4" w:space="0" w:color="auto"/>
              <w:right w:val="single" w:sz="4" w:space="0" w:color="auto"/>
            </w:tcBorders>
          </w:tcPr>
          <w:p w14:paraId="28FD5255" w14:textId="77777777" w:rsidR="008F4746" w:rsidRDefault="008F4746" w:rsidP="001D1D00">
            <w:pPr>
              <w:rPr>
                <w:i/>
                <w:sz w:val="24"/>
              </w:rPr>
            </w:pPr>
            <w:r>
              <w:rPr>
                <w:i/>
                <w:sz w:val="24"/>
              </w:rPr>
              <w:t xml:space="preserve">Les bénéficiaires de la CAA prennent un engagement ferme et définitif de partir à la retraite à la fin du dispositif. </w:t>
            </w:r>
          </w:p>
          <w:p w14:paraId="194C5C60" w14:textId="77777777" w:rsidR="008F4746" w:rsidRDefault="008F4746" w:rsidP="001D1D00">
            <w:pPr>
              <w:rPr>
                <w:i/>
                <w:sz w:val="24"/>
              </w:rPr>
            </w:pPr>
            <w:r>
              <w:rPr>
                <w:i/>
                <w:sz w:val="24"/>
              </w:rPr>
              <w:t>S’ils ne partent pas à la retraite, ils devront rembourser les sommes versées par la CDC.</w:t>
            </w:r>
          </w:p>
        </w:tc>
      </w:tr>
      <w:tr w:rsidR="008F4746" w14:paraId="35288184" w14:textId="56534A68" w:rsidTr="00DA295B">
        <w:tc>
          <w:tcPr>
            <w:tcW w:w="3114" w:type="dxa"/>
            <w:tcBorders>
              <w:top w:val="single" w:sz="4" w:space="0" w:color="auto"/>
              <w:left w:val="single" w:sz="4" w:space="0" w:color="auto"/>
              <w:bottom w:val="single" w:sz="4" w:space="0" w:color="auto"/>
              <w:right w:val="single" w:sz="4" w:space="0" w:color="auto"/>
            </w:tcBorders>
            <w:hideMark/>
          </w:tcPr>
          <w:p w14:paraId="5B8857AF" w14:textId="77777777" w:rsidR="008F4746" w:rsidRPr="008F4746" w:rsidRDefault="008F4746" w:rsidP="001D1D00">
            <w:pPr>
              <w:pStyle w:val="Corpsdetexte"/>
              <w:rPr>
                <w:rFonts w:ascii="Times New Roman" w:hAnsi="Times New Roman"/>
              </w:rPr>
            </w:pPr>
            <w:r w:rsidRPr="008F4746">
              <w:rPr>
                <w:rFonts w:ascii="Times New Roman" w:hAnsi="Times New Roman"/>
              </w:rPr>
              <w:lastRenderedPageBreak/>
              <w:t>En cas de modification réglementaire importante des conditions de départ à la retraite, peut-on modifier la date de départ ?</w:t>
            </w:r>
          </w:p>
        </w:tc>
        <w:tc>
          <w:tcPr>
            <w:tcW w:w="10348" w:type="dxa"/>
            <w:tcBorders>
              <w:top w:val="single" w:sz="4" w:space="0" w:color="auto"/>
              <w:left w:val="single" w:sz="4" w:space="0" w:color="auto"/>
              <w:bottom w:val="single" w:sz="4" w:space="0" w:color="auto"/>
              <w:right w:val="single" w:sz="4" w:space="0" w:color="auto"/>
            </w:tcBorders>
            <w:hideMark/>
          </w:tcPr>
          <w:p w14:paraId="1898B370" w14:textId="0266095A" w:rsidR="008F4746" w:rsidRDefault="008F4746" w:rsidP="001D1D00">
            <w:pPr>
              <w:rPr>
                <w:rFonts w:ascii="Times New Roman" w:hAnsi="Times New Roman"/>
                <w:i/>
                <w:sz w:val="24"/>
              </w:rPr>
            </w:pPr>
            <w:r>
              <w:rPr>
                <w:i/>
                <w:sz w:val="24"/>
              </w:rPr>
              <w:t>Ce cas sera examiné en détail, car cela concernerait nécessairement plusieurs collaborateurs .</w:t>
            </w:r>
          </w:p>
        </w:tc>
      </w:tr>
      <w:tr w:rsidR="008F4746" w14:paraId="2B9DA7BE" w14:textId="22F6E742" w:rsidTr="00DA295B">
        <w:tc>
          <w:tcPr>
            <w:tcW w:w="3114" w:type="dxa"/>
            <w:tcBorders>
              <w:top w:val="single" w:sz="4" w:space="0" w:color="auto"/>
              <w:left w:val="single" w:sz="4" w:space="0" w:color="auto"/>
              <w:bottom w:val="single" w:sz="4" w:space="0" w:color="auto"/>
              <w:right w:val="nil"/>
            </w:tcBorders>
          </w:tcPr>
          <w:p w14:paraId="6DFD76C6" w14:textId="77777777" w:rsidR="008F4746" w:rsidRPr="008F4746" w:rsidRDefault="008F4746" w:rsidP="001D1D00">
            <w:pPr>
              <w:pStyle w:val="Corpsdetexte"/>
              <w:rPr>
                <w:rFonts w:ascii="Times New Roman" w:hAnsi="Times New Roman"/>
              </w:rPr>
            </w:pPr>
            <w:r w:rsidRPr="008F4746">
              <w:rPr>
                <w:rFonts w:ascii="Times New Roman" w:hAnsi="Times New Roman"/>
              </w:rPr>
              <w:t>REMUNERATION</w:t>
            </w:r>
          </w:p>
          <w:p w14:paraId="2FC27142" w14:textId="77777777" w:rsidR="008F4746" w:rsidRPr="008F4746" w:rsidRDefault="008F4746" w:rsidP="001D1D00">
            <w:pPr>
              <w:pStyle w:val="Corpsdetexte"/>
              <w:rPr>
                <w:rFonts w:ascii="Times New Roman" w:hAnsi="Times New Roman"/>
                <w:highlight w:val="yellow"/>
              </w:rPr>
            </w:pPr>
          </w:p>
        </w:tc>
        <w:tc>
          <w:tcPr>
            <w:tcW w:w="10348" w:type="dxa"/>
            <w:tcBorders>
              <w:top w:val="single" w:sz="4" w:space="0" w:color="auto"/>
              <w:left w:val="nil"/>
              <w:bottom w:val="single" w:sz="4" w:space="0" w:color="auto"/>
              <w:right w:val="single" w:sz="4" w:space="0" w:color="auto"/>
            </w:tcBorders>
          </w:tcPr>
          <w:p w14:paraId="517FB709" w14:textId="77777777" w:rsidR="008F4746" w:rsidRDefault="008F4746" w:rsidP="001D1D00">
            <w:pPr>
              <w:pStyle w:val="Titre7"/>
              <w:ind w:left="518"/>
              <w:jc w:val="left"/>
              <w:rPr>
                <w:i/>
                <w:color w:val="auto"/>
              </w:rPr>
            </w:pPr>
          </w:p>
        </w:tc>
      </w:tr>
      <w:tr w:rsidR="008F4746" w14:paraId="7257FBEC" w14:textId="560BDA7E" w:rsidTr="00DA295B">
        <w:tc>
          <w:tcPr>
            <w:tcW w:w="3114" w:type="dxa"/>
            <w:tcBorders>
              <w:top w:val="single" w:sz="4" w:space="0" w:color="auto"/>
              <w:left w:val="single" w:sz="4" w:space="0" w:color="auto"/>
              <w:bottom w:val="single" w:sz="4" w:space="0" w:color="auto"/>
              <w:right w:val="single" w:sz="4" w:space="0" w:color="auto"/>
            </w:tcBorders>
          </w:tcPr>
          <w:p w14:paraId="5A38E4D6" w14:textId="77777777" w:rsidR="008F4746" w:rsidRDefault="008F4746" w:rsidP="001D1D00">
            <w:pPr>
              <w:pStyle w:val="Corpsdetexte"/>
              <w:rPr>
                <w:rFonts w:ascii="Times New Roman" w:hAnsi="Times New Roman"/>
              </w:rPr>
            </w:pPr>
            <w:r>
              <w:rPr>
                <w:rFonts w:ascii="Times New Roman" w:hAnsi="Times New Roman"/>
              </w:rPr>
              <w:t>Combien de jours CET et médaille doit-on donner en échange du maintien de la rémunération à 100%</w:t>
            </w:r>
          </w:p>
        </w:tc>
        <w:tc>
          <w:tcPr>
            <w:tcW w:w="10348" w:type="dxa"/>
            <w:tcBorders>
              <w:top w:val="single" w:sz="4" w:space="0" w:color="auto"/>
              <w:left w:val="single" w:sz="4" w:space="0" w:color="auto"/>
              <w:bottom w:val="single" w:sz="4" w:space="0" w:color="auto"/>
              <w:right w:val="single" w:sz="4" w:space="0" w:color="auto"/>
            </w:tcBorders>
          </w:tcPr>
          <w:p w14:paraId="53AFC427" w14:textId="77777777" w:rsidR="008F4746" w:rsidRDefault="008F4746" w:rsidP="001D1D00">
            <w:pPr>
              <w:rPr>
                <w:i/>
                <w:sz w:val="24"/>
              </w:rPr>
            </w:pPr>
            <w:r>
              <w:rPr>
                <w:i/>
                <w:sz w:val="24"/>
              </w:rPr>
              <w:t xml:space="preserve">Chaque jour donne droit à une semaine de maintien à 100%. Ainsi, 26 jours permettent de maintenir la rémunération durant 6 mois Une année complète à 100% représente 52 jours. </w:t>
            </w:r>
          </w:p>
          <w:p w14:paraId="59741428" w14:textId="2939C5FE" w:rsidR="00EF4B1C" w:rsidRPr="00EF4B1C" w:rsidRDefault="008F4746" w:rsidP="00EF4B1C">
            <w:pPr>
              <w:rPr>
                <w:rFonts w:ascii="Times New Roman" w:eastAsia="Calibri" w:hAnsi="Times New Roman"/>
                <w:i/>
                <w:sz w:val="24"/>
              </w:rPr>
            </w:pPr>
            <w:r>
              <w:rPr>
                <w:i/>
                <w:sz w:val="24"/>
              </w:rPr>
              <w:t>Cependant, un abondement de 5 jours pour le dispositif de deux fois 6 mois sera accordé par la CDC, et 10 jours pour le dispositif sur 2 ans</w:t>
            </w:r>
            <w:r w:rsidR="00EF4B1C" w:rsidRPr="00EF4B1C">
              <w:rPr>
                <w:rFonts w:eastAsia="Calibri"/>
                <w:i/>
                <w:sz w:val="24"/>
              </w:rPr>
              <w:t xml:space="preserve"> (</w:t>
            </w:r>
            <w:r w:rsidR="00EF4B1C" w:rsidRPr="007148F4">
              <w:rPr>
                <w:rFonts w:eastAsia="Calibri"/>
                <w:i/>
                <w:sz w:val="24"/>
              </w:rPr>
              <w:t>hors cas des personnes renonçant à la MATT et ne remboursant pas les jours)</w:t>
            </w:r>
            <w:r w:rsidR="00EF4B1C" w:rsidRPr="00EF4B1C">
              <w:rPr>
                <w:rFonts w:eastAsia="Calibri"/>
                <w:i/>
                <w:sz w:val="24"/>
              </w:rPr>
              <w:t>.</w:t>
            </w:r>
          </w:p>
          <w:p w14:paraId="1904E0EA" w14:textId="77777777" w:rsidR="008F4746" w:rsidRDefault="008F4746" w:rsidP="001D1D00">
            <w:pPr>
              <w:rPr>
                <w:rFonts w:ascii="Times New Roman" w:hAnsi="Times New Roman"/>
                <w:i/>
                <w:sz w:val="24"/>
              </w:rPr>
            </w:pPr>
          </w:p>
          <w:p w14:paraId="6B353531" w14:textId="77777777" w:rsidR="008F4746" w:rsidRDefault="008F4746" w:rsidP="001D1D00">
            <w:pPr>
              <w:rPr>
                <w:i/>
                <w:sz w:val="24"/>
              </w:rPr>
            </w:pPr>
            <w:r>
              <w:rPr>
                <w:i/>
                <w:sz w:val="24"/>
              </w:rPr>
              <w:t>En conséquence, une personne qui adopterait le dispositif sur 1 ans devra donc verser 47 jours pour voir sa rémunération maintenue à 100% durant les deux périodes ou 94 jours pour le dispositif de 2 ans.</w:t>
            </w:r>
          </w:p>
          <w:p w14:paraId="73467DE0" w14:textId="77777777" w:rsidR="008F4746" w:rsidRDefault="008F4746" w:rsidP="001D1D00">
            <w:pPr>
              <w:rPr>
                <w:i/>
                <w:sz w:val="24"/>
              </w:rPr>
            </w:pPr>
          </w:p>
        </w:tc>
      </w:tr>
      <w:tr w:rsidR="008F4746" w14:paraId="5A897BFB" w14:textId="6E6A0683" w:rsidTr="00DA295B">
        <w:tc>
          <w:tcPr>
            <w:tcW w:w="3114" w:type="dxa"/>
            <w:tcBorders>
              <w:top w:val="single" w:sz="4" w:space="0" w:color="auto"/>
              <w:left w:val="single" w:sz="4" w:space="0" w:color="auto"/>
              <w:bottom w:val="single" w:sz="4" w:space="0" w:color="auto"/>
              <w:right w:val="single" w:sz="4" w:space="0" w:color="auto"/>
            </w:tcBorders>
          </w:tcPr>
          <w:p w14:paraId="34688F30" w14:textId="16F52567" w:rsidR="008F4746" w:rsidRPr="008F4746" w:rsidRDefault="008F4746" w:rsidP="001D1D00">
            <w:pPr>
              <w:pStyle w:val="Corpsdetexte"/>
              <w:rPr>
                <w:rFonts w:ascii="Times New Roman" w:hAnsi="Times New Roman"/>
              </w:rPr>
            </w:pPr>
            <w:r w:rsidRPr="008F4746">
              <w:rPr>
                <w:rFonts w:ascii="Times New Roman" w:hAnsi="Times New Roman"/>
              </w:rPr>
              <w:t>Les heures supplémentaires qui seraient faites pendant la CAA sont-elles prise en compte pour le calcul des 80% de rémunération ?</w:t>
            </w:r>
          </w:p>
          <w:p w14:paraId="2A49E10E" w14:textId="77777777" w:rsidR="008F4746" w:rsidRPr="008F4746" w:rsidRDefault="008F4746" w:rsidP="001D1D00">
            <w:pPr>
              <w:rPr>
                <w:rFonts w:ascii="Times New Roman" w:hAnsi="Times New Roman"/>
                <w:sz w:val="24"/>
              </w:rPr>
            </w:pPr>
          </w:p>
        </w:tc>
        <w:tc>
          <w:tcPr>
            <w:tcW w:w="10348" w:type="dxa"/>
            <w:tcBorders>
              <w:top w:val="single" w:sz="4" w:space="0" w:color="auto"/>
              <w:left w:val="single" w:sz="4" w:space="0" w:color="auto"/>
              <w:bottom w:val="single" w:sz="4" w:space="0" w:color="auto"/>
              <w:right w:val="single" w:sz="4" w:space="0" w:color="auto"/>
            </w:tcBorders>
          </w:tcPr>
          <w:p w14:paraId="55B4A913" w14:textId="46B4F0EC" w:rsidR="008F4746" w:rsidRPr="008F4746" w:rsidRDefault="008F4746" w:rsidP="001D1D00">
            <w:pPr>
              <w:pStyle w:val="Titre7"/>
              <w:ind w:left="0"/>
              <w:jc w:val="left"/>
              <w:rPr>
                <w:i/>
                <w:color w:val="auto"/>
              </w:rPr>
            </w:pPr>
            <w:r w:rsidRPr="008F4746">
              <w:rPr>
                <w:i/>
                <w:color w:val="auto"/>
              </w:rPr>
              <w:t>Non, elles n’entrent pas dans le calcul de l’abattement.</w:t>
            </w:r>
          </w:p>
          <w:p w14:paraId="06D2869B" w14:textId="77777777" w:rsidR="008F4746" w:rsidRPr="008F4746" w:rsidRDefault="008F4746" w:rsidP="001D1D00">
            <w:pPr>
              <w:pStyle w:val="Titre7"/>
              <w:ind w:left="0"/>
              <w:jc w:val="left"/>
              <w:rPr>
                <w:i/>
                <w:color w:val="auto"/>
              </w:rPr>
            </w:pPr>
          </w:p>
          <w:p w14:paraId="6F4BADE6" w14:textId="3022127C" w:rsidR="008F4746" w:rsidRPr="008F4746" w:rsidRDefault="008F4746" w:rsidP="001D1D00">
            <w:pPr>
              <w:pStyle w:val="Titre7"/>
              <w:ind w:left="0"/>
              <w:jc w:val="left"/>
              <w:rPr>
                <w:i/>
                <w:color w:val="auto"/>
              </w:rPr>
            </w:pPr>
            <w:r w:rsidRPr="008F4746">
              <w:rPr>
                <w:i/>
                <w:color w:val="auto"/>
              </w:rPr>
              <w:t>Les heures supplémentaires restent versées sur une base de rémunération à 100% dans les conditions de droit commun.</w:t>
            </w:r>
          </w:p>
          <w:p w14:paraId="455B4C43" w14:textId="77777777" w:rsidR="008F4746" w:rsidRDefault="008F4746" w:rsidP="001D1D00">
            <w:pPr>
              <w:rPr>
                <w:i/>
                <w:sz w:val="24"/>
              </w:rPr>
            </w:pPr>
          </w:p>
        </w:tc>
      </w:tr>
      <w:tr w:rsidR="008F4746" w14:paraId="1FAEC4D5" w14:textId="09FA9FD8" w:rsidTr="00DA295B">
        <w:tc>
          <w:tcPr>
            <w:tcW w:w="3114" w:type="dxa"/>
            <w:tcBorders>
              <w:top w:val="single" w:sz="4" w:space="0" w:color="auto"/>
              <w:left w:val="single" w:sz="4" w:space="0" w:color="auto"/>
              <w:bottom w:val="single" w:sz="4" w:space="0" w:color="auto"/>
              <w:right w:val="single" w:sz="4" w:space="0" w:color="auto"/>
            </w:tcBorders>
            <w:hideMark/>
          </w:tcPr>
          <w:p w14:paraId="67663D9F" w14:textId="262BEF5F" w:rsidR="008F4746" w:rsidRPr="008F4746" w:rsidRDefault="008F4746" w:rsidP="001D1D00">
            <w:pPr>
              <w:rPr>
                <w:sz w:val="24"/>
              </w:rPr>
            </w:pPr>
            <w:r w:rsidRPr="008F4746">
              <w:rPr>
                <w:sz w:val="24"/>
              </w:rPr>
              <w:t>Est-ce que l’intéressement est impacté, la première année, la deuxième année et l’année civile suivante ?</w:t>
            </w:r>
          </w:p>
        </w:tc>
        <w:tc>
          <w:tcPr>
            <w:tcW w:w="10348" w:type="dxa"/>
            <w:tcBorders>
              <w:top w:val="single" w:sz="4" w:space="0" w:color="auto"/>
              <w:left w:val="single" w:sz="4" w:space="0" w:color="auto"/>
              <w:bottom w:val="single" w:sz="4" w:space="0" w:color="auto"/>
              <w:right w:val="single" w:sz="4" w:space="0" w:color="auto"/>
            </w:tcBorders>
            <w:hideMark/>
          </w:tcPr>
          <w:p w14:paraId="5856FD1D" w14:textId="77777777" w:rsidR="008F4746" w:rsidRDefault="008F4746" w:rsidP="001D1D00">
            <w:pPr>
              <w:rPr>
                <w:i/>
                <w:sz w:val="24"/>
              </w:rPr>
            </w:pPr>
            <w:r>
              <w:rPr>
                <w:i/>
                <w:sz w:val="24"/>
              </w:rPr>
              <w:t>Le calcul de l’intéressement se compose de 2 parties ;</w:t>
            </w:r>
          </w:p>
          <w:p w14:paraId="1C392125" w14:textId="77777777" w:rsidR="008F4746" w:rsidRDefault="008F4746" w:rsidP="001D1D00">
            <w:pPr>
              <w:pStyle w:val="Paragraphedeliste"/>
              <w:numPr>
                <w:ilvl w:val="0"/>
                <w:numId w:val="4"/>
              </w:numPr>
              <w:rPr>
                <w:i/>
                <w:sz w:val="24"/>
              </w:rPr>
            </w:pPr>
            <w:r w:rsidRPr="000915A5">
              <w:rPr>
                <w:i/>
                <w:sz w:val="24"/>
              </w:rPr>
              <w:t xml:space="preserve">La partie </w:t>
            </w:r>
            <w:r>
              <w:rPr>
                <w:i/>
                <w:sz w:val="24"/>
              </w:rPr>
              <w:t>« </w:t>
            </w:r>
            <w:r w:rsidRPr="000915A5">
              <w:rPr>
                <w:i/>
                <w:sz w:val="24"/>
              </w:rPr>
              <w:t>présence</w:t>
            </w:r>
            <w:r>
              <w:rPr>
                <w:i/>
                <w:sz w:val="24"/>
              </w:rPr>
              <w:t> »</w:t>
            </w:r>
            <w:r w:rsidRPr="000915A5">
              <w:rPr>
                <w:i/>
                <w:sz w:val="24"/>
              </w:rPr>
              <w:t xml:space="preserve"> de l’intéressement </w:t>
            </w:r>
            <w:r>
              <w:rPr>
                <w:i/>
                <w:sz w:val="24"/>
              </w:rPr>
              <w:t>est réduite à 0</w:t>
            </w:r>
            <w:r w:rsidRPr="000915A5">
              <w:rPr>
                <w:i/>
                <w:sz w:val="24"/>
              </w:rPr>
              <w:t xml:space="preserve"> durant la seconde période</w:t>
            </w:r>
            <w:r>
              <w:rPr>
                <w:i/>
                <w:sz w:val="24"/>
              </w:rPr>
              <w:t>,</w:t>
            </w:r>
          </w:p>
          <w:p w14:paraId="56B95996" w14:textId="77777777" w:rsidR="008F4746" w:rsidRPr="000915A5" w:rsidRDefault="008F4746" w:rsidP="001D1D00">
            <w:pPr>
              <w:pStyle w:val="Paragraphedeliste"/>
              <w:numPr>
                <w:ilvl w:val="0"/>
                <w:numId w:val="4"/>
              </w:numPr>
              <w:rPr>
                <w:i/>
                <w:sz w:val="24"/>
              </w:rPr>
            </w:pPr>
            <w:r w:rsidRPr="000915A5">
              <w:rPr>
                <w:i/>
                <w:sz w:val="24"/>
              </w:rPr>
              <w:t xml:space="preserve">La partie </w:t>
            </w:r>
            <w:r>
              <w:rPr>
                <w:i/>
                <w:sz w:val="24"/>
              </w:rPr>
              <w:t>« </w:t>
            </w:r>
            <w:r w:rsidRPr="000915A5">
              <w:rPr>
                <w:i/>
                <w:sz w:val="24"/>
              </w:rPr>
              <w:t>rémunération</w:t>
            </w:r>
            <w:r>
              <w:rPr>
                <w:i/>
                <w:sz w:val="24"/>
              </w:rPr>
              <w:t> »</w:t>
            </w:r>
            <w:r w:rsidRPr="000915A5">
              <w:rPr>
                <w:i/>
                <w:sz w:val="24"/>
              </w:rPr>
              <w:t xml:space="preserve"> est calculée à partir de la rémunération réellement versée.</w:t>
            </w:r>
          </w:p>
        </w:tc>
      </w:tr>
      <w:tr w:rsidR="008F4746" w14:paraId="507D6AAF" w14:textId="053DB37A" w:rsidTr="00DA295B">
        <w:tc>
          <w:tcPr>
            <w:tcW w:w="3114" w:type="dxa"/>
            <w:tcBorders>
              <w:top w:val="single" w:sz="4" w:space="0" w:color="auto"/>
              <w:left w:val="single" w:sz="4" w:space="0" w:color="auto"/>
              <w:bottom w:val="single" w:sz="4" w:space="0" w:color="auto"/>
              <w:right w:val="single" w:sz="4" w:space="0" w:color="auto"/>
            </w:tcBorders>
            <w:hideMark/>
          </w:tcPr>
          <w:p w14:paraId="6839961F" w14:textId="13B7A66F" w:rsidR="008F4746" w:rsidRPr="008F4746" w:rsidRDefault="008F4746" w:rsidP="001D1D00">
            <w:pPr>
              <w:rPr>
                <w:sz w:val="24"/>
              </w:rPr>
            </w:pPr>
            <w:r w:rsidRPr="008F4746">
              <w:rPr>
                <w:sz w:val="24"/>
              </w:rPr>
              <w:t xml:space="preserve"> Quid de la PVO lors de la première période et de la seconde période ?</w:t>
            </w:r>
          </w:p>
          <w:p w14:paraId="0EC1E417" w14:textId="2E2808B4" w:rsidR="008F4746" w:rsidRPr="008F4746" w:rsidRDefault="008F4746" w:rsidP="001D1D00">
            <w:pPr>
              <w:rPr>
                <w:sz w:val="24"/>
              </w:rPr>
            </w:pPr>
            <w:r w:rsidRPr="008F4746">
              <w:rPr>
                <w:sz w:val="24"/>
              </w:rPr>
              <w:t>(Réponse PY F 1/01/2019)</w:t>
            </w:r>
          </w:p>
        </w:tc>
        <w:tc>
          <w:tcPr>
            <w:tcW w:w="10348" w:type="dxa"/>
            <w:tcBorders>
              <w:top w:val="single" w:sz="4" w:space="0" w:color="auto"/>
              <w:left w:val="single" w:sz="4" w:space="0" w:color="auto"/>
              <w:bottom w:val="single" w:sz="4" w:space="0" w:color="auto"/>
              <w:right w:val="single" w:sz="4" w:space="0" w:color="auto"/>
            </w:tcBorders>
            <w:hideMark/>
          </w:tcPr>
          <w:p w14:paraId="3F16708A" w14:textId="5B4025DF" w:rsidR="008F4746" w:rsidRPr="008F4746" w:rsidRDefault="008F4746" w:rsidP="00FF1479">
            <w:pPr>
              <w:rPr>
                <w:i/>
                <w:sz w:val="24"/>
              </w:rPr>
            </w:pPr>
            <w:r w:rsidRPr="008F4746">
              <w:rPr>
                <w:i/>
                <w:sz w:val="24"/>
              </w:rPr>
              <w:t xml:space="preserve">Au terme de la première période, le calcul du montant de la PVO se fait au vu de la réalisation des objectifs, sur la rémunération perçue sur cette période, recalculée à 100%. </w:t>
            </w:r>
          </w:p>
          <w:p w14:paraId="3C7E3328" w14:textId="75BFF48D" w:rsidR="008F4746" w:rsidRDefault="008F4746" w:rsidP="00FF1479">
            <w:pPr>
              <w:rPr>
                <w:i/>
                <w:sz w:val="24"/>
              </w:rPr>
            </w:pPr>
            <w:r w:rsidRPr="008F4746">
              <w:rPr>
                <w:i/>
                <w:sz w:val="24"/>
              </w:rPr>
              <w:t xml:space="preserve"> Au terme de la seconde période, une indemnité représentative de PVO sera versée. Son montant sera identique à celui de la PVO versée au titre de la première période.</w:t>
            </w:r>
          </w:p>
        </w:tc>
      </w:tr>
      <w:tr w:rsidR="008F4746" w14:paraId="195A7AD4" w14:textId="1189D9DA" w:rsidTr="00DA295B">
        <w:tc>
          <w:tcPr>
            <w:tcW w:w="3114" w:type="dxa"/>
            <w:tcBorders>
              <w:top w:val="single" w:sz="4" w:space="0" w:color="auto"/>
              <w:left w:val="single" w:sz="4" w:space="0" w:color="auto"/>
              <w:bottom w:val="single" w:sz="4" w:space="0" w:color="auto"/>
              <w:right w:val="single" w:sz="4" w:space="0" w:color="auto"/>
            </w:tcBorders>
          </w:tcPr>
          <w:p w14:paraId="76729DA7" w14:textId="77777777" w:rsidR="008F4746" w:rsidRPr="008F4746" w:rsidRDefault="008F4746" w:rsidP="001D1D00">
            <w:pPr>
              <w:pStyle w:val="Corpsdetexte"/>
              <w:rPr>
                <w:rFonts w:ascii="Times New Roman" w:hAnsi="Times New Roman"/>
              </w:rPr>
            </w:pPr>
            <w:r w:rsidRPr="008F4746">
              <w:rPr>
                <w:rFonts w:ascii="Times New Roman" w:hAnsi="Times New Roman"/>
              </w:rPr>
              <w:lastRenderedPageBreak/>
              <w:t>Pour un fonctionnaire ou pour un salarié sous statut CANSSM, quel est l’impact de la CAA sur les cotisations retraite ?</w:t>
            </w:r>
          </w:p>
          <w:p w14:paraId="261706F5" w14:textId="77777777" w:rsidR="008F4746" w:rsidRPr="008F4746" w:rsidRDefault="008F4746" w:rsidP="001D1D00">
            <w:pPr>
              <w:pStyle w:val="Corpsdetexte"/>
              <w:rPr>
                <w:rFonts w:ascii="Times New Roman" w:hAnsi="Times New Roman"/>
              </w:rPr>
            </w:pPr>
          </w:p>
        </w:tc>
        <w:tc>
          <w:tcPr>
            <w:tcW w:w="10348" w:type="dxa"/>
            <w:tcBorders>
              <w:top w:val="single" w:sz="4" w:space="0" w:color="auto"/>
              <w:left w:val="single" w:sz="4" w:space="0" w:color="auto"/>
              <w:bottom w:val="single" w:sz="4" w:space="0" w:color="auto"/>
              <w:right w:val="single" w:sz="4" w:space="0" w:color="auto"/>
            </w:tcBorders>
            <w:hideMark/>
          </w:tcPr>
          <w:p w14:paraId="5C729F12" w14:textId="77777777" w:rsidR="008F4746" w:rsidRDefault="008F4746" w:rsidP="001D1D00">
            <w:pPr>
              <w:rPr>
                <w:i/>
                <w:sz w:val="24"/>
              </w:rPr>
            </w:pPr>
            <w:r>
              <w:rPr>
                <w:i/>
                <w:sz w:val="24"/>
              </w:rPr>
              <w:t xml:space="preserve">La base des cotisations aux pensions civiles est le traitement indiciaire brut. Celui-ci n’étant pas diminué, il n’y a aucun impact sur les pensions civiles. C’est la même chose pour les salariés sous statut CANSSM. Concernant le RAFP, la base de calcul étant plafonnée, il n’y a aucun impact sur les cotisations dans la mesure où les primes recalculées permettent d’atteindre ce plafond. </w:t>
            </w:r>
          </w:p>
          <w:p w14:paraId="344D6CFA" w14:textId="77777777" w:rsidR="008F4746" w:rsidRDefault="008F4746" w:rsidP="001D1D00">
            <w:pPr>
              <w:rPr>
                <w:i/>
                <w:sz w:val="24"/>
              </w:rPr>
            </w:pPr>
          </w:p>
        </w:tc>
      </w:tr>
      <w:tr w:rsidR="008F4746" w14:paraId="0A4815BB" w14:textId="2C022361" w:rsidTr="00DA295B">
        <w:tc>
          <w:tcPr>
            <w:tcW w:w="3114" w:type="dxa"/>
            <w:tcBorders>
              <w:top w:val="single" w:sz="4" w:space="0" w:color="auto"/>
              <w:left w:val="single" w:sz="4" w:space="0" w:color="auto"/>
              <w:bottom w:val="single" w:sz="4" w:space="0" w:color="auto"/>
              <w:right w:val="single" w:sz="4" w:space="0" w:color="auto"/>
            </w:tcBorders>
          </w:tcPr>
          <w:p w14:paraId="3F26DFD9" w14:textId="77777777" w:rsidR="008F4746" w:rsidRPr="008F4746" w:rsidRDefault="008F4746" w:rsidP="001D1D00">
            <w:pPr>
              <w:pStyle w:val="Corpsdetexte"/>
              <w:rPr>
                <w:rFonts w:ascii="Times New Roman" w:hAnsi="Times New Roman"/>
              </w:rPr>
            </w:pPr>
            <w:r w:rsidRPr="008F4746">
              <w:rPr>
                <w:rFonts w:ascii="Times New Roman" w:hAnsi="Times New Roman"/>
              </w:rPr>
              <w:t>Pour un salarié sous convention collective quel est l’impact de la CAA sur les cotisations retraite ?</w:t>
            </w:r>
          </w:p>
          <w:p w14:paraId="51665096" w14:textId="77777777" w:rsidR="008F4746" w:rsidRPr="008F4746" w:rsidRDefault="008F4746" w:rsidP="001D1D00">
            <w:pPr>
              <w:pStyle w:val="Corpsdetexte"/>
              <w:rPr>
                <w:rFonts w:ascii="Times New Roman" w:hAnsi="Times New Roman"/>
              </w:rPr>
            </w:pPr>
          </w:p>
        </w:tc>
        <w:tc>
          <w:tcPr>
            <w:tcW w:w="10348" w:type="dxa"/>
            <w:tcBorders>
              <w:top w:val="single" w:sz="4" w:space="0" w:color="auto"/>
              <w:left w:val="single" w:sz="4" w:space="0" w:color="auto"/>
              <w:bottom w:val="single" w:sz="4" w:space="0" w:color="auto"/>
              <w:right w:val="single" w:sz="4" w:space="0" w:color="auto"/>
            </w:tcBorders>
          </w:tcPr>
          <w:p w14:paraId="59F0E9D9" w14:textId="2C8D1FBA" w:rsidR="008F4746" w:rsidRDefault="008F4746" w:rsidP="00532142">
            <w:pPr>
              <w:rPr>
                <w:i/>
                <w:sz w:val="24"/>
              </w:rPr>
            </w:pPr>
            <w:r>
              <w:rPr>
                <w:i/>
                <w:sz w:val="24"/>
              </w:rPr>
              <w:t>Il sera appliqué la réglementation du temps partiel (le cumul des deux périodes permet d’établir un temps d’activité de 50%). Cela permet le calcul pour l’employeur et le salarié des cotisations retraite sur la base d’une rémunération à 100%. Ceci  concerne les personnes au décompte horaire</w:t>
            </w:r>
            <w:r w:rsidR="00F27282">
              <w:rPr>
                <w:i/>
                <w:sz w:val="24"/>
              </w:rPr>
              <w:t xml:space="preserve"> ainsi que celles au forfait jours qui le souhaitent</w:t>
            </w:r>
            <w:r>
              <w:rPr>
                <w:i/>
                <w:sz w:val="24"/>
              </w:rPr>
              <w:t>.</w:t>
            </w:r>
            <w:r w:rsidR="00F27282">
              <w:rPr>
                <w:i/>
                <w:sz w:val="24"/>
              </w:rPr>
              <w:t xml:space="preserve"> </w:t>
            </w:r>
          </w:p>
        </w:tc>
      </w:tr>
      <w:tr w:rsidR="008F4746" w14:paraId="75055306" w14:textId="6D55871A" w:rsidTr="00DA295B">
        <w:tc>
          <w:tcPr>
            <w:tcW w:w="3114" w:type="dxa"/>
            <w:tcBorders>
              <w:top w:val="single" w:sz="4" w:space="0" w:color="auto"/>
              <w:left w:val="single" w:sz="4" w:space="0" w:color="auto"/>
              <w:bottom w:val="single" w:sz="4" w:space="0" w:color="auto"/>
              <w:right w:val="single" w:sz="4" w:space="0" w:color="auto"/>
            </w:tcBorders>
          </w:tcPr>
          <w:p w14:paraId="0A766FFE" w14:textId="77777777" w:rsidR="008F4746" w:rsidRPr="008F4746" w:rsidRDefault="008F4746" w:rsidP="001D1D00">
            <w:pPr>
              <w:pStyle w:val="Corpsdetexte"/>
              <w:rPr>
                <w:rFonts w:ascii="Times New Roman" w:hAnsi="Times New Roman"/>
              </w:rPr>
            </w:pPr>
            <w:r w:rsidRPr="008F4746">
              <w:rPr>
                <w:rFonts w:ascii="Times New Roman" w:hAnsi="Times New Roman"/>
              </w:rPr>
              <w:t>Pour un contractuel de droit public, quel est l’impact de la CAA sur les cotisations retraite ?</w:t>
            </w:r>
          </w:p>
          <w:p w14:paraId="7CB31A91" w14:textId="77777777" w:rsidR="008F4746" w:rsidRPr="008F4746" w:rsidRDefault="008F4746" w:rsidP="001D1D00">
            <w:pPr>
              <w:pStyle w:val="Corpsdetexte"/>
              <w:rPr>
                <w:rFonts w:ascii="Times New Roman" w:hAnsi="Times New Roman"/>
              </w:rPr>
            </w:pPr>
          </w:p>
        </w:tc>
        <w:tc>
          <w:tcPr>
            <w:tcW w:w="10348" w:type="dxa"/>
            <w:tcBorders>
              <w:top w:val="single" w:sz="4" w:space="0" w:color="auto"/>
              <w:left w:val="single" w:sz="4" w:space="0" w:color="auto"/>
              <w:bottom w:val="single" w:sz="4" w:space="0" w:color="auto"/>
              <w:right w:val="single" w:sz="4" w:space="0" w:color="auto"/>
            </w:tcBorders>
          </w:tcPr>
          <w:p w14:paraId="7E0F2ED3" w14:textId="77777777" w:rsidR="008F4746" w:rsidRDefault="008F4746" w:rsidP="001D1D00">
            <w:pPr>
              <w:rPr>
                <w:i/>
                <w:sz w:val="24"/>
              </w:rPr>
            </w:pPr>
            <w:r>
              <w:rPr>
                <w:i/>
                <w:sz w:val="24"/>
              </w:rPr>
              <w:t>Il sera appliqué la réglementation du temps partiel (le cumul des deux périodes permet d’établir un temps d’activité de 50%).</w:t>
            </w:r>
          </w:p>
          <w:p w14:paraId="17E987A4" w14:textId="3D06E841" w:rsidR="008F4746" w:rsidRDefault="008F4746" w:rsidP="00532142">
            <w:pPr>
              <w:rPr>
                <w:i/>
                <w:sz w:val="24"/>
              </w:rPr>
            </w:pPr>
            <w:r>
              <w:rPr>
                <w:i/>
                <w:sz w:val="24"/>
              </w:rPr>
              <w:t>Les contractuels de droit public ne pouvant pas surcotiser, le manque à gagner de cotisation employeur sera versé sous forme de prime.</w:t>
            </w:r>
          </w:p>
        </w:tc>
      </w:tr>
      <w:tr w:rsidR="008F4746" w14:paraId="2AE147D1" w14:textId="26942690" w:rsidTr="00DA295B">
        <w:tc>
          <w:tcPr>
            <w:tcW w:w="3114" w:type="dxa"/>
            <w:tcBorders>
              <w:top w:val="single" w:sz="4" w:space="0" w:color="auto"/>
              <w:left w:val="single" w:sz="4" w:space="0" w:color="auto"/>
              <w:bottom w:val="single" w:sz="4" w:space="0" w:color="auto"/>
              <w:right w:val="single" w:sz="4" w:space="0" w:color="auto"/>
            </w:tcBorders>
          </w:tcPr>
          <w:p w14:paraId="22C2F44D" w14:textId="77777777" w:rsidR="008F4746" w:rsidRPr="008F4746" w:rsidRDefault="008F4746" w:rsidP="001D1D00">
            <w:pPr>
              <w:pStyle w:val="Corpsdetexte"/>
              <w:rPr>
                <w:rFonts w:ascii="Times New Roman" w:hAnsi="Times New Roman"/>
              </w:rPr>
            </w:pPr>
            <w:r w:rsidRPr="008F4746">
              <w:rPr>
                <w:rFonts w:ascii="Times New Roman" w:hAnsi="Times New Roman"/>
              </w:rPr>
              <w:t>Que devient la NBI durant les deux périodes ?</w:t>
            </w:r>
          </w:p>
          <w:p w14:paraId="684F1313" w14:textId="6015B2C5" w:rsidR="008F4746" w:rsidRPr="008F4746" w:rsidRDefault="008F4746" w:rsidP="001D1D00">
            <w:pPr>
              <w:pStyle w:val="Corpsdetexte"/>
              <w:rPr>
                <w:rFonts w:ascii="Times New Roman" w:hAnsi="Times New Roman"/>
              </w:rPr>
            </w:pPr>
          </w:p>
        </w:tc>
        <w:tc>
          <w:tcPr>
            <w:tcW w:w="10348" w:type="dxa"/>
            <w:tcBorders>
              <w:top w:val="single" w:sz="4" w:space="0" w:color="auto"/>
              <w:left w:val="single" w:sz="4" w:space="0" w:color="auto"/>
              <w:bottom w:val="single" w:sz="4" w:space="0" w:color="auto"/>
              <w:right w:val="single" w:sz="4" w:space="0" w:color="auto"/>
            </w:tcBorders>
          </w:tcPr>
          <w:p w14:paraId="3C9BB085" w14:textId="38C03A0F" w:rsidR="008F4746" w:rsidRPr="005E79BF" w:rsidRDefault="008F4746" w:rsidP="001D1D00">
            <w:pPr>
              <w:rPr>
                <w:i/>
                <w:sz w:val="24"/>
              </w:rPr>
            </w:pPr>
            <w:r>
              <w:rPr>
                <w:i/>
                <w:sz w:val="24"/>
              </w:rPr>
              <w:t>La NBI est maintenue sur la première période, il est versé une ICNBI sans condition d’ancienneté lors de la seconde période</w:t>
            </w:r>
            <w:r w:rsidRPr="005E79BF">
              <w:rPr>
                <w:i/>
                <w:sz w:val="24"/>
              </w:rPr>
              <w:t>.</w:t>
            </w:r>
          </w:p>
          <w:p w14:paraId="3BCFB861" w14:textId="77777777" w:rsidR="008F4746" w:rsidRPr="00BA1503" w:rsidRDefault="008F4746" w:rsidP="001D1D00">
            <w:pPr>
              <w:rPr>
                <w:i/>
                <w:sz w:val="24"/>
                <w:highlight w:val="magenta"/>
              </w:rPr>
            </w:pPr>
          </w:p>
        </w:tc>
      </w:tr>
      <w:tr w:rsidR="008F4746" w14:paraId="74499AE7" w14:textId="321B292C" w:rsidTr="00DA295B">
        <w:tc>
          <w:tcPr>
            <w:tcW w:w="3114" w:type="dxa"/>
            <w:tcBorders>
              <w:top w:val="single" w:sz="4" w:space="0" w:color="auto"/>
              <w:left w:val="single" w:sz="4" w:space="0" w:color="auto"/>
              <w:bottom w:val="single" w:sz="4" w:space="0" w:color="auto"/>
              <w:right w:val="single" w:sz="4" w:space="0" w:color="auto"/>
            </w:tcBorders>
          </w:tcPr>
          <w:p w14:paraId="1F8CE9F4" w14:textId="77777777" w:rsidR="008F4746" w:rsidRPr="008F4746" w:rsidRDefault="008F4746" w:rsidP="001D1D00">
            <w:pPr>
              <w:pStyle w:val="Corpsdetexte"/>
              <w:rPr>
                <w:rFonts w:ascii="Times New Roman" w:hAnsi="Times New Roman"/>
              </w:rPr>
            </w:pPr>
            <w:r w:rsidRPr="008F4746">
              <w:rPr>
                <w:rFonts w:ascii="Times New Roman" w:hAnsi="Times New Roman"/>
              </w:rPr>
              <w:t>Comment est calculée l’Indemnité de départ à la retraite (80% ou 100%)</w:t>
            </w:r>
          </w:p>
        </w:tc>
        <w:tc>
          <w:tcPr>
            <w:tcW w:w="10348" w:type="dxa"/>
            <w:tcBorders>
              <w:top w:val="single" w:sz="4" w:space="0" w:color="auto"/>
              <w:left w:val="single" w:sz="4" w:space="0" w:color="auto"/>
              <w:bottom w:val="single" w:sz="4" w:space="0" w:color="auto"/>
              <w:right w:val="single" w:sz="4" w:space="0" w:color="auto"/>
            </w:tcBorders>
          </w:tcPr>
          <w:p w14:paraId="7BF804FD" w14:textId="77777777" w:rsidR="008F4746" w:rsidRPr="003148AE" w:rsidRDefault="008F4746" w:rsidP="001D1D00">
            <w:pPr>
              <w:rPr>
                <w:i/>
                <w:sz w:val="24"/>
              </w:rPr>
            </w:pPr>
            <w:r w:rsidRPr="003148AE">
              <w:rPr>
                <w:i/>
                <w:sz w:val="24"/>
              </w:rPr>
              <w:t xml:space="preserve">Le montant est calculé sur la base de la rémunération remise </w:t>
            </w:r>
            <w:r>
              <w:rPr>
                <w:i/>
                <w:sz w:val="24"/>
              </w:rPr>
              <w:t>à</w:t>
            </w:r>
            <w:r w:rsidRPr="003148AE">
              <w:rPr>
                <w:i/>
                <w:sz w:val="24"/>
              </w:rPr>
              <w:t xml:space="preserve"> 100%</w:t>
            </w:r>
            <w:r>
              <w:rPr>
                <w:i/>
                <w:sz w:val="24"/>
              </w:rPr>
              <w:t xml:space="preserve"> selon les modalités établies dans l’accord du 6 juillet 2017 concernant la retraite et l’épargne salariale.</w:t>
            </w:r>
          </w:p>
          <w:p w14:paraId="74E44575" w14:textId="77777777" w:rsidR="008F4746" w:rsidRPr="003148AE" w:rsidRDefault="008F4746" w:rsidP="001D1D00">
            <w:pPr>
              <w:rPr>
                <w:i/>
                <w:sz w:val="24"/>
              </w:rPr>
            </w:pPr>
          </w:p>
        </w:tc>
      </w:tr>
      <w:tr w:rsidR="008F4746" w14:paraId="1202CE78" w14:textId="3EF8D5A3" w:rsidTr="00DA295B">
        <w:tc>
          <w:tcPr>
            <w:tcW w:w="3114" w:type="dxa"/>
            <w:tcBorders>
              <w:top w:val="single" w:sz="4" w:space="0" w:color="auto"/>
              <w:left w:val="single" w:sz="4" w:space="0" w:color="auto"/>
              <w:bottom w:val="single" w:sz="4" w:space="0" w:color="auto"/>
              <w:right w:val="single" w:sz="4" w:space="0" w:color="auto"/>
            </w:tcBorders>
            <w:hideMark/>
          </w:tcPr>
          <w:p w14:paraId="7913EF52" w14:textId="77777777" w:rsidR="008F4746" w:rsidRPr="008F4746" w:rsidRDefault="008F4746" w:rsidP="001D1D00">
            <w:pPr>
              <w:pStyle w:val="Corpsdetexte"/>
              <w:rPr>
                <w:rFonts w:ascii="Times New Roman" w:hAnsi="Times New Roman"/>
              </w:rPr>
            </w:pPr>
            <w:r w:rsidRPr="008F4746">
              <w:rPr>
                <w:rFonts w:ascii="Times New Roman" w:hAnsi="Times New Roman"/>
              </w:rPr>
              <w:t>En cas de maladie durant ces périodes, comment cela se passe-t-il ?</w:t>
            </w:r>
          </w:p>
          <w:p w14:paraId="46C8846E" w14:textId="1BDA7E94" w:rsidR="008F4746" w:rsidRPr="008F4746" w:rsidRDefault="008F4746" w:rsidP="001D1D00">
            <w:pPr>
              <w:pStyle w:val="Corpsdetexte"/>
              <w:rPr>
                <w:rFonts w:ascii="Times New Roman" w:hAnsi="Times New Roman"/>
              </w:rPr>
            </w:pPr>
            <w:r w:rsidRPr="008F4746">
              <w:rPr>
                <w:rFonts w:ascii="Times New Roman" w:hAnsi="Times New Roman"/>
              </w:rPr>
              <w:t xml:space="preserve">Revoir avec la GTA </w:t>
            </w:r>
          </w:p>
        </w:tc>
        <w:tc>
          <w:tcPr>
            <w:tcW w:w="10348" w:type="dxa"/>
            <w:tcBorders>
              <w:top w:val="single" w:sz="4" w:space="0" w:color="auto"/>
              <w:left w:val="single" w:sz="4" w:space="0" w:color="auto"/>
              <w:bottom w:val="single" w:sz="4" w:space="0" w:color="auto"/>
              <w:right w:val="single" w:sz="4" w:space="0" w:color="auto"/>
            </w:tcBorders>
            <w:hideMark/>
          </w:tcPr>
          <w:p w14:paraId="158D5B30" w14:textId="77777777" w:rsidR="008F4746" w:rsidRDefault="008F4746" w:rsidP="001D1D00">
            <w:pPr>
              <w:rPr>
                <w:rFonts w:ascii="Times New Roman" w:hAnsi="Times New Roman"/>
                <w:i/>
                <w:sz w:val="24"/>
              </w:rPr>
            </w:pPr>
            <w:r>
              <w:rPr>
                <w:i/>
                <w:sz w:val="24"/>
              </w:rPr>
              <w:t>Les périodes de maladie sont traitées de la même façon que si l’agent n’était pas dans le dispositif de CAA GPEC.</w:t>
            </w:r>
          </w:p>
          <w:p w14:paraId="6AEFF123" w14:textId="77777777" w:rsidR="008F4746" w:rsidRDefault="008F4746" w:rsidP="001D1D00">
            <w:pPr>
              <w:rPr>
                <w:i/>
                <w:sz w:val="24"/>
              </w:rPr>
            </w:pPr>
            <w:r>
              <w:rPr>
                <w:i/>
                <w:sz w:val="24"/>
              </w:rPr>
              <w:t>Le CLM, le CLD ou l’invalidité ne repoussent cependant pas la date limite de départ réel.</w:t>
            </w:r>
          </w:p>
        </w:tc>
      </w:tr>
      <w:tr w:rsidR="008F4746" w14:paraId="54A4DFF9" w14:textId="58185B10" w:rsidTr="00DA295B">
        <w:tc>
          <w:tcPr>
            <w:tcW w:w="3114" w:type="dxa"/>
            <w:tcBorders>
              <w:top w:val="single" w:sz="4" w:space="0" w:color="auto"/>
              <w:left w:val="single" w:sz="4" w:space="0" w:color="auto"/>
              <w:bottom w:val="single" w:sz="4" w:space="0" w:color="auto"/>
              <w:right w:val="single" w:sz="4" w:space="0" w:color="auto"/>
            </w:tcBorders>
            <w:hideMark/>
          </w:tcPr>
          <w:p w14:paraId="10B783B9" w14:textId="77777777" w:rsidR="008F4746" w:rsidRDefault="008F4746" w:rsidP="001D1D00">
            <w:pPr>
              <w:pStyle w:val="Corpsdetexte"/>
              <w:rPr>
                <w:rFonts w:ascii="Times New Roman" w:hAnsi="Times New Roman"/>
              </w:rPr>
            </w:pPr>
            <w:r>
              <w:rPr>
                <w:rFonts w:ascii="Times New Roman" w:hAnsi="Times New Roman"/>
              </w:rPr>
              <w:t>Peut-on bénéficier d’un congé de présence parentale ?</w:t>
            </w:r>
          </w:p>
        </w:tc>
        <w:tc>
          <w:tcPr>
            <w:tcW w:w="10348" w:type="dxa"/>
            <w:tcBorders>
              <w:top w:val="single" w:sz="4" w:space="0" w:color="auto"/>
              <w:left w:val="single" w:sz="4" w:space="0" w:color="auto"/>
              <w:bottom w:val="single" w:sz="4" w:space="0" w:color="auto"/>
              <w:right w:val="single" w:sz="4" w:space="0" w:color="auto"/>
            </w:tcBorders>
            <w:hideMark/>
          </w:tcPr>
          <w:p w14:paraId="6B451789" w14:textId="77777777" w:rsidR="008F4746" w:rsidRDefault="008F4746" w:rsidP="001D1D00">
            <w:pPr>
              <w:rPr>
                <w:rFonts w:ascii="Times New Roman" w:hAnsi="Times New Roman"/>
                <w:i/>
                <w:sz w:val="24"/>
              </w:rPr>
            </w:pPr>
            <w:r>
              <w:rPr>
                <w:i/>
                <w:sz w:val="24"/>
              </w:rPr>
              <w:t>Oui durant la première période.</w:t>
            </w:r>
          </w:p>
        </w:tc>
      </w:tr>
      <w:tr w:rsidR="008F4746" w14:paraId="400E746D" w14:textId="738FFABE" w:rsidTr="00DA295B">
        <w:trPr>
          <w:trHeight w:val="70"/>
        </w:trPr>
        <w:tc>
          <w:tcPr>
            <w:tcW w:w="3114" w:type="dxa"/>
            <w:tcBorders>
              <w:top w:val="single" w:sz="4" w:space="0" w:color="auto"/>
              <w:left w:val="single" w:sz="4" w:space="0" w:color="auto"/>
              <w:bottom w:val="single" w:sz="4" w:space="0" w:color="auto"/>
              <w:right w:val="single" w:sz="4" w:space="0" w:color="auto"/>
            </w:tcBorders>
            <w:hideMark/>
          </w:tcPr>
          <w:p w14:paraId="54314160" w14:textId="77777777" w:rsidR="008F4746" w:rsidRDefault="008F4746" w:rsidP="001D1D00">
            <w:pPr>
              <w:rPr>
                <w:sz w:val="24"/>
              </w:rPr>
            </w:pPr>
            <w:r>
              <w:rPr>
                <w:sz w:val="24"/>
              </w:rPr>
              <w:t>Peut-on partir en formation rémunérée durant ces périodes ?</w:t>
            </w:r>
          </w:p>
        </w:tc>
        <w:tc>
          <w:tcPr>
            <w:tcW w:w="10348" w:type="dxa"/>
            <w:tcBorders>
              <w:top w:val="single" w:sz="4" w:space="0" w:color="auto"/>
              <w:left w:val="single" w:sz="4" w:space="0" w:color="auto"/>
              <w:bottom w:val="single" w:sz="4" w:space="0" w:color="auto"/>
              <w:right w:val="single" w:sz="4" w:space="0" w:color="auto"/>
            </w:tcBorders>
            <w:hideMark/>
          </w:tcPr>
          <w:p w14:paraId="00A5EBA0" w14:textId="77777777" w:rsidR="008F4746" w:rsidRDefault="008F4746" w:rsidP="001D1D00">
            <w:pPr>
              <w:rPr>
                <w:i/>
                <w:sz w:val="24"/>
              </w:rPr>
            </w:pPr>
            <w:r>
              <w:rPr>
                <w:i/>
                <w:sz w:val="24"/>
              </w:rPr>
              <w:t>Oui durant la première période (y compris CFP)</w:t>
            </w:r>
          </w:p>
          <w:p w14:paraId="784D143E" w14:textId="77777777" w:rsidR="008F4746" w:rsidRDefault="008F4746" w:rsidP="001D1D00">
            <w:pPr>
              <w:rPr>
                <w:i/>
                <w:sz w:val="24"/>
              </w:rPr>
            </w:pPr>
            <w:r>
              <w:rPr>
                <w:i/>
                <w:sz w:val="24"/>
              </w:rPr>
              <w:t>Oui aussi durant la deuxième période mais la rémunération n’est pas modifiée ;</w:t>
            </w:r>
          </w:p>
        </w:tc>
      </w:tr>
      <w:tr w:rsidR="008F4746" w14:paraId="21FF113A" w14:textId="6CA73B2E" w:rsidTr="00DA295B">
        <w:tc>
          <w:tcPr>
            <w:tcW w:w="3114" w:type="dxa"/>
            <w:tcBorders>
              <w:top w:val="single" w:sz="4" w:space="0" w:color="auto"/>
              <w:left w:val="single" w:sz="4" w:space="0" w:color="auto"/>
              <w:bottom w:val="single" w:sz="4" w:space="0" w:color="auto"/>
              <w:right w:val="single" w:sz="4" w:space="0" w:color="auto"/>
            </w:tcBorders>
            <w:shd w:val="clear" w:color="auto" w:fill="auto"/>
          </w:tcPr>
          <w:p w14:paraId="0595602E" w14:textId="77777777" w:rsidR="008F4746" w:rsidRPr="00BA1503" w:rsidRDefault="008F4746" w:rsidP="001D1D00">
            <w:pPr>
              <w:pStyle w:val="Corpsdetexte"/>
              <w:rPr>
                <w:rFonts w:ascii="Times New Roman" w:hAnsi="Times New Roman" w:cs="Times New Roman"/>
                <w:lang w:eastAsia="en-US"/>
              </w:rPr>
            </w:pPr>
            <w:r w:rsidRPr="00BA1503">
              <w:rPr>
                <w:rFonts w:ascii="Times New Roman" w:hAnsi="Times New Roman" w:cs="Times New Roman"/>
                <w:lang w:eastAsia="en-US"/>
              </w:rPr>
              <w:lastRenderedPageBreak/>
              <w:t xml:space="preserve">Les abondements employeurs PEE PERCO pendant la phase travaillée à 0% et payés à 80% </w:t>
            </w:r>
            <w:r>
              <w:rPr>
                <w:rFonts w:ascii="Times New Roman" w:hAnsi="Times New Roman" w:cs="Times New Roman"/>
                <w:lang w:eastAsia="en-US"/>
              </w:rPr>
              <w:t>sont-ils</w:t>
            </w:r>
            <w:r w:rsidRPr="00BA1503">
              <w:rPr>
                <w:rFonts w:ascii="Times New Roman" w:hAnsi="Times New Roman" w:cs="Times New Roman"/>
                <w:lang w:eastAsia="en-US"/>
              </w:rPr>
              <w:t xml:space="preserve"> maintenus ?</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4E976B60" w14:textId="77777777" w:rsidR="008F4746" w:rsidRPr="00BA1503" w:rsidRDefault="008F4746" w:rsidP="001D1D00">
            <w:pPr>
              <w:rPr>
                <w:i/>
                <w:iCs/>
                <w:sz w:val="24"/>
                <w:szCs w:val="24"/>
              </w:rPr>
            </w:pPr>
            <w:r w:rsidRPr="00BA1503">
              <w:rPr>
                <w:i/>
                <w:iCs/>
                <w:sz w:val="24"/>
                <w:szCs w:val="24"/>
              </w:rPr>
              <w:t>Oui</w:t>
            </w:r>
          </w:p>
        </w:tc>
      </w:tr>
      <w:tr w:rsidR="008F4746" w14:paraId="6BE8E1C9" w14:textId="42BEB7A0" w:rsidTr="00DA295B">
        <w:trPr>
          <w:trHeight w:val="975"/>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1449F42" w14:textId="77777777" w:rsidR="008F4746" w:rsidRPr="00BA1503" w:rsidRDefault="008F4746" w:rsidP="001D1D00">
            <w:pPr>
              <w:pStyle w:val="Corpsdetexte"/>
              <w:rPr>
                <w:rFonts w:ascii="Times New Roman" w:hAnsi="Times New Roman" w:cs="Times New Roman"/>
                <w:lang w:eastAsia="en-US"/>
              </w:rPr>
            </w:pPr>
            <w:r w:rsidRPr="00BA1503">
              <w:rPr>
                <w:rFonts w:ascii="Times New Roman" w:hAnsi="Times New Roman" w:cs="Times New Roman"/>
                <w:lang w:eastAsia="en-US"/>
              </w:rPr>
              <w:t>Peut-on obtenir une avance de paie pendant la période travaillée à 0% ?</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509E81DD" w14:textId="4180278B" w:rsidR="008F4746" w:rsidRPr="00BA1503" w:rsidRDefault="008F4746" w:rsidP="001D1D00">
            <w:pPr>
              <w:rPr>
                <w:i/>
                <w:iCs/>
                <w:sz w:val="24"/>
                <w:szCs w:val="24"/>
              </w:rPr>
            </w:pPr>
            <w:r w:rsidRPr="00BA1503">
              <w:rPr>
                <w:i/>
                <w:iCs/>
                <w:sz w:val="24"/>
                <w:szCs w:val="24"/>
              </w:rPr>
              <w:t>Oui</w:t>
            </w:r>
            <w:r>
              <w:rPr>
                <w:i/>
                <w:iCs/>
                <w:sz w:val="24"/>
                <w:szCs w:val="24"/>
              </w:rPr>
              <w:t xml:space="preserve">, c’est possible dans les mêmes conditions qu’actuellement pour les agents sous convention collective. </w:t>
            </w:r>
          </w:p>
        </w:tc>
      </w:tr>
      <w:tr w:rsidR="008F4746" w14:paraId="2EFE375D" w14:textId="5906DFB8" w:rsidTr="00DA295B">
        <w:tc>
          <w:tcPr>
            <w:tcW w:w="3114" w:type="dxa"/>
            <w:tcBorders>
              <w:top w:val="single" w:sz="4" w:space="0" w:color="auto"/>
              <w:left w:val="single" w:sz="4" w:space="0" w:color="auto"/>
              <w:bottom w:val="single" w:sz="4" w:space="0" w:color="auto"/>
              <w:right w:val="single" w:sz="4" w:space="0" w:color="auto"/>
            </w:tcBorders>
            <w:shd w:val="clear" w:color="auto" w:fill="auto"/>
          </w:tcPr>
          <w:p w14:paraId="602AC870" w14:textId="77777777" w:rsidR="008F4746" w:rsidRPr="00BA1503" w:rsidRDefault="008F4746" w:rsidP="001D1D00">
            <w:pPr>
              <w:pStyle w:val="Corpsdetexte"/>
              <w:rPr>
                <w:rFonts w:ascii="Times New Roman" w:hAnsi="Times New Roman" w:cs="Times New Roman"/>
                <w:lang w:eastAsia="en-US"/>
              </w:rPr>
            </w:pPr>
            <w:r w:rsidRPr="00BA1503">
              <w:rPr>
                <w:rFonts w:ascii="Times New Roman" w:hAnsi="Times New Roman" w:cs="Times New Roman"/>
                <w:lang w:eastAsia="en-US"/>
              </w:rPr>
              <w:t>Peut-on venir déjeuner aux AGR pendant la période travaillée à 0% ?</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64586A98" w14:textId="33973CD2" w:rsidR="008F4746" w:rsidRPr="00BA1503" w:rsidRDefault="008F4746" w:rsidP="001D1D00">
            <w:pPr>
              <w:rPr>
                <w:i/>
                <w:iCs/>
                <w:sz w:val="24"/>
                <w:szCs w:val="24"/>
              </w:rPr>
            </w:pPr>
            <w:r w:rsidRPr="00BA1503">
              <w:rPr>
                <w:i/>
                <w:iCs/>
                <w:sz w:val="24"/>
                <w:szCs w:val="24"/>
              </w:rPr>
              <w:t>Oui, au tarif habituel</w:t>
            </w:r>
            <w:r>
              <w:rPr>
                <w:i/>
                <w:iCs/>
                <w:sz w:val="24"/>
                <w:szCs w:val="24"/>
              </w:rPr>
              <w:t xml:space="preserve"> en fonction de l’indice détenu </w:t>
            </w:r>
          </w:p>
        </w:tc>
      </w:tr>
      <w:tr w:rsidR="008F4746" w14:paraId="63AD89D7" w14:textId="58A382FF" w:rsidTr="00DA295B">
        <w:tc>
          <w:tcPr>
            <w:tcW w:w="3114" w:type="dxa"/>
            <w:tcBorders>
              <w:top w:val="single" w:sz="4" w:space="0" w:color="auto"/>
              <w:left w:val="single" w:sz="4" w:space="0" w:color="auto"/>
              <w:bottom w:val="single" w:sz="4" w:space="0" w:color="auto"/>
              <w:right w:val="single" w:sz="4" w:space="0" w:color="auto"/>
            </w:tcBorders>
            <w:shd w:val="clear" w:color="auto" w:fill="auto"/>
          </w:tcPr>
          <w:p w14:paraId="699EC512" w14:textId="77777777" w:rsidR="008F4746" w:rsidRPr="00BA1503" w:rsidRDefault="008F4746" w:rsidP="001D1D00">
            <w:pPr>
              <w:pStyle w:val="Corpsdetexte"/>
              <w:rPr>
                <w:rFonts w:ascii="Times New Roman" w:hAnsi="Times New Roman" w:cs="Times New Roman"/>
                <w:lang w:eastAsia="en-US"/>
              </w:rPr>
            </w:pPr>
            <w:r w:rsidRPr="00BA1503">
              <w:rPr>
                <w:rFonts w:ascii="Times New Roman" w:hAnsi="Times New Roman" w:cs="Times New Roman"/>
                <w:lang w:eastAsia="en-US"/>
              </w:rPr>
              <w:t xml:space="preserve">Les prestations du COSOG </w:t>
            </w:r>
            <w:r>
              <w:rPr>
                <w:rFonts w:ascii="Times New Roman" w:hAnsi="Times New Roman" w:cs="Times New Roman"/>
                <w:lang w:eastAsia="en-US"/>
              </w:rPr>
              <w:t xml:space="preserve">et de l’USAC </w:t>
            </w:r>
            <w:r w:rsidRPr="00BA1503">
              <w:rPr>
                <w:rFonts w:ascii="Times New Roman" w:hAnsi="Times New Roman" w:cs="Times New Roman"/>
                <w:lang w:eastAsia="en-US"/>
              </w:rPr>
              <w:t>sont-elles maintenues pendant la période travaillée à 0% ?</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0AFB3F06" w14:textId="77777777" w:rsidR="008F4746" w:rsidRPr="00BA1503" w:rsidRDefault="008F4746" w:rsidP="001D1D00">
            <w:pPr>
              <w:rPr>
                <w:i/>
                <w:iCs/>
                <w:sz w:val="24"/>
                <w:szCs w:val="24"/>
              </w:rPr>
            </w:pPr>
            <w:r w:rsidRPr="00BA1503">
              <w:rPr>
                <w:i/>
                <w:iCs/>
                <w:sz w:val="24"/>
                <w:szCs w:val="24"/>
              </w:rPr>
              <w:t>Oui</w:t>
            </w:r>
          </w:p>
        </w:tc>
      </w:tr>
    </w:tbl>
    <w:p w14:paraId="138DF3F2" w14:textId="77777777" w:rsidR="00ED7E8B" w:rsidRDefault="00ED7E8B"/>
    <w:sectPr w:rsidR="00ED7E8B" w:rsidSect="008F4746">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D58BD" w14:textId="77777777" w:rsidR="00ED7E8B" w:rsidRDefault="00ED7E8B" w:rsidP="00ED7E8B">
      <w:r>
        <w:separator/>
      </w:r>
    </w:p>
  </w:endnote>
  <w:endnote w:type="continuationSeparator" w:id="0">
    <w:p w14:paraId="0C0E2192" w14:textId="77777777" w:rsidR="00ED7E8B" w:rsidRDefault="00ED7E8B" w:rsidP="00ED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11ED" w14:textId="5BC8A824" w:rsidR="00ED7E8B" w:rsidRDefault="00746CF9">
    <w:pPr>
      <w:pStyle w:val="Pieddepage"/>
    </w:pPr>
    <w:r>
      <w:rPr>
        <w:noProof/>
      </w:rPr>
      <mc:AlternateContent>
        <mc:Choice Requires="wps">
          <w:drawing>
            <wp:anchor distT="0" distB="0" distL="114300" distR="114300" simplePos="0" relativeHeight="251659264" behindDoc="0" locked="0" layoutInCell="0" allowOverlap="1" wp14:anchorId="3BE7499D" wp14:editId="0E410511">
              <wp:simplePos x="0" y="0"/>
              <wp:positionH relativeFrom="page">
                <wp:posOffset>0</wp:posOffset>
              </wp:positionH>
              <wp:positionV relativeFrom="page">
                <wp:posOffset>7103110</wp:posOffset>
              </wp:positionV>
              <wp:extent cx="10692130" cy="266700"/>
              <wp:effectExtent l="0" t="0" r="0" b="0"/>
              <wp:wrapNone/>
              <wp:docPr id="2" name="MSIPCMbb78443ea5166de57a45eb38" descr="{&quot;HashCode&quot;:9679731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29E74" w14:textId="4817F6F0" w:rsidR="00746CF9" w:rsidRPr="00746CF9" w:rsidRDefault="00746CF9" w:rsidP="00746CF9">
                          <w:pPr>
                            <w:rPr>
                              <w:color w:val="A80000"/>
                              <w:sz w:val="20"/>
                            </w:rPr>
                          </w:pPr>
                          <w:r w:rsidRPr="00746CF9">
                            <w:rPr>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E7499D" id="_x0000_t202" coordsize="21600,21600" o:spt="202" path="m,l,21600r21600,l21600,xe">
              <v:stroke joinstyle="miter"/>
              <v:path gradientshapeok="t" o:connecttype="rect"/>
            </v:shapetype>
            <v:shape id="MSIPCMbb78443ea5166de57a45eb38" o:spid="_x0000_s1026" type="#_x0000_t202" alt="{&quot;HashCode&quot;:967973103,&quot;Height&quot;:595.0,&quot;Width&quot;:841.0,&quot;Placement&quot;:&quot;Footer&quot;,&quot;Index&quot;:&quot;Primary&quot;,&quot;Section&quot;:1,&quot;Top&quot;:0.0,&quot;Left&quot;:0.0}" style="position:absolute;margin-left:0;margin-top:559.3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" o:allowincell="f" filled="f" stroked="f" strokeweight=".5pt">
              <v:fill o:detectmouseclick="t"/>
              <v:textbox inset="20pt,0,,0">
                <w:txbxContent>
                  <w:p w14:paraId="20029E74" w14:textId="4817F6F0" w:rsidR="00746CF9" w:rsidRPr="00746CF9" w:rsidRDefault="00746CF9" w:rsidP="00746CF9">
                    <w:pPr>
                      <w:rPr>
                        <w:color w:val="A80000"/>
                        <w:sz w:val="20"/>
                      </w:rPr>
                    </w:pPr>
                    <w:r w:rsidRPr="00746CF9">
                      <w:rPr>
                        <w:color w:val="A8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3E1B5" w14:textId="77777777" w:rsidR="00ED7E8B" w:rsidRDefault="00ED7E8B" w:rsidP="00ED7E8B">
      <w:r>
        <w:separator/>
      </w:r>
    </w:p>
  </w:footnote>
  <w:footnote w:type="continuationSeparator" w:id="0">
    <w:p w14:paraId="7BC7D7FF" w14:textId="77777777" w:rsidR="00ED7E8B" w:rsidRDefault="00ED7E8B" w:rsidP="00ED7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0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754212"/>
    <w:multiLevelType w:val="hybridMultilevel"/>
    <w:tmpl w:val="860AB05E"/>
    <w:lvl w:ilvl="0" w:tplc="2B0008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C165B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5D3E9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D14894"/>
    <w:multiLevelType w:val="hybridMultilevel"/>
    <w:tmpl w:val="E6363926"/>
    <w:lvl w:ilvl="0" w:tplc="DD86EE20">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137630"/>
    <w:multiLevelType w:val="hybridMultilevel"/>
    <w:tmpl w:val="7B5020D0"/>
    <w:lvl w:ilvl="0" w:tplc="D998172C">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8B"/>
    <w:rsid w:val="00007F7E"/>
    <w:rsid w:val="00054E12"/>
    <w:rsid w:val="0008184F"/>
    <w:rsid w:val="000915A5"/>
    <w:rsid w:val="000D3397"/>
    <w:rsid w:val="000E708B"/>
    <w:rsid w:val="000F76B6"/>
    <w:rsid w:val="00164498"/>
    <w:rsid w:val="00181B71"/>
    <w:rsid w:val="001825D4"/>
    <w:rsid w:val="00184935"/>
    <w:rsid w:val="001D1D00"/>
    <w:rsid w:val="001F4097"/>
    <w:rsid w:val="002060DA"/>
    <w:rsid w:val="0021676E"/>
    <w:rsid w:val="00235CE3"/>
    <w:rsid w:val="002812C2"/>
    <w:rsid w:val="00285F84"/>
    <w:rsid w:val="00293522"/>
    <w:rsid w:val="002A754E"/>
    <w:rsid w:val="002F09DA"/>
    <w:rsid w:val="002F11AD"/>
    <w:rsid w:val="003148AE"/>
    <w:rsid w:val="00317838"/>
    <w:rsid w:val="00324355"/>
    <w:rsid w:val="00345EBF"/>
    <w:rsid w:val="00350B0C"/>
    <w:rsid w:val="00364218"/>
    <w:rsid w:val="003676D8"/>
    <w:rsid w:val="003851DF"/>
    <w:rsid w:val="00393ACB"/>
    <w:rsid w:val="003B7E86"/>
    <w:rsid w:val="003C4D33"/>
    <w:rsid w:val="003F2D8E"/>
    <w:rsid w:val="00401CAA"/>
    <w:rsid w:val="00415776"/>
    <w:rsid w:val="004173F3"/>
    <w:rsid w:val="00452B90"/>
    <w:rsid w:val="004545E8"/>
    <w:rsid w:val="004621BF"/>
    <w:rsid w:val="00470ABA"/>
    <w:rsid w:val="00486D7A"/>
    <w:rsid w:val="004A1F5D"/>
    <w:rsid w:val="004A7298"/>
    <w:rsid w:val="004C2D00"/>
    <w:rsid w:val="004D03EC"/>
    <w:rsid w:val="004D7896"/>
    <w:rsid w:val="0050454A"/>
    <w:rsid w:val="00532142"/>
    <w:rsid w:val="005741D1"/>
    <w:rsid w:val="00586F0E"/>
    <w:rsid w:val="00597565"/>
    <w:rsid w:val="005D04AA"/>
    <w:rsid w:val="005E79BF"/>
    <w:rsid w:val="00641B45"/>
    <w:rsid w:val="00642F18"/>
    <w:rsid w:val="006455CD"/>
    <w:rsid w:val="00654401"/>
    <w:rsid w:val="00665DBE"/>
    <w:rsid w:val="006A1C79"/>
    <w:rsid w:val="006C69C6"/>
    <w:rsid w:val="006D03BB"/>
    <w:rsid w:val="006E3640"/>
    <w:rsid w:val="006F6CE6"/>
    <w:rsid w:val="007069CC"/>
    <w:rsid w:val="007148F4"/>
    <w:rsid w:val="00746CF9"/>
    <w:rsid w:val="00753063"/>
    <w:rsid w:val="0079655D"/>
    <w:rsid w:val="007C2251"/>
    <w:rsid w:val="007D6DD0"/>
    <w:rsid w:val="00823A70"/>
    <w:rsid w:val="00865513"/>
    <w:rsid w:val="008B7AF1"/>
    <w:rsid w:val="008F4746"/>
    <w:rsid w:val="009014A4"/>
    <w:rsid w:val="00914C96"/>
    <w:rsid w:val="00933533"/>
    <w:rsid w:val="0094268E"/>
    <w:rsid w:val="00943D7B"/>
    <w:rsid w:val="009473A1"/>
    <w:rsid w:val="00957944"/>
    <w:rsid w:val="009A4980"/>
    <w:rsid w:val="009B5D98"/>
    <w:rsid w:val="009C2293"/>
    <w:rsid w:val="009D1E6A"/>
    <w:rsid w:val="009F2645"/>
    <w:rsid w:val="009F3A27"/>
    <w:rsid w:val="00A30E93"/>
    <w:rsid w:val="00A35DE1"/>
    <w:rsid w:val="00A654F4"/>
    <w:rsid w:val="00A82F7B"/>
    <w:rsid w:val="00B53C67"/>
    <w:rsid w:val="00B64786"/>
    <w:rsid w:val="00BA1503"/>
    <w:rsid w:val="00C1791D"/>
    <w:rsid w:val="00C4784A"/>
    <w:rsid w:val="00C541C6"/>
    <w:rsid w:val="00C54476"/>
    <w:rsid w:val="00C5532C"/>
    <w:rsid w:val="00C8269C"/>
    <w:rsid w:val="00CC36ED"/>
    <w:rsid w:val="00CD73F8"/>
    <w:rsid w:val="00CF410F"/>
    <w:rsid w:val="00D056F2"/>
    <w:rsid w:val="00D451A9"/>
    <w:rsid w:val="00D462F3"/>
    <w:rsid w:val="00D56688"/>
    <w:rsid w:val="00D61B2C"/>
    <w:rsid w:val="00D840D9"/>
    <w:rsid w:val="00DA295B"/>
    <w:rsid w:val="00DA7C53"/>
    <w:rsid w:val="00DC2AE4"/>
    <w:rsid w:val="00DE35AC"/>
    <w:rsid w:val="00DF59EB"/>
    <w:rsid w:val="00E328CD"/>
    <w:rsid w:val="00E36E4D"/>
    <w:rsid w:val="00E4490F"/>
    <w:rsid w:val="00E44FD4"/>
    <w:rsid w:val="00E723AB"/>
    <w:rsid w:val="00E72CBD"/>
    <w:rsid w:val="00EA7A19"/>
    <w:rsid w:val="00ED769D"/>
    <w:rsid w:val="00ED7E8B"/>
    <w:rsid w:val="00EE402B"/>
    <w:rsid w:val="00EE74AA"/>
    <w:rsid w:val="00EF4B1C"/>
    <w:rsid w:val="00F0638D"/>
    <w:rsid w:val="00F27282"/>
    <w:rsid w:val="00F4594D"/>
    <w:rsid w:val="00F474A7"/>
    <w:rsid w:val="00FB4A98"/>
    <w:rsid w:val="00FF14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5C7E6"/>
  <w15:chartTrackingRefBased/>
  <w15:docId w15:val="{2E61C560-4D92-476F-85D3-4CE2CAF2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E8B"/>
    <w:pPr>
      <w:spacing w:after="0" w:line="240" w:lineRule="auto"/>
    </w:pPr>
    <w:rPr>
      <w:rFonts w:ascii="Calibri" w:hAnsi="Calibri" w:cs="Calibri"/>
    </w:rPr>
  </w:style>
  <w:style w:type="paragraph" w:styleId="Titre7">
    <w:name w:val="heading 7"/>
    <w:basedOn w:val="Normal"/>
    <w:link w:val="Titre7Car"/>
    <w:uiPriority w:val="9"/>
    <w:semiHidden/>
    <w:unhideWhenUsed/>
    <w:qFormat/>
    <w:rsid w:val="00ED7E8B"/>
    <w:pPr>
      <w:keepNext/>
      <w:snapToGrid w:val="0"/>
      <w:ind w:left="158"/>
      <w:jc w:val="both"/>
      <w:outlineLvl w:val="6"/>
    </w:pPr>
    <w:rPr>
      <w:rFonts w:ascii="Times New Roman" w:hAnsi="Times New Roman" w:cs="Times New Roman"/>
      <w:color w:val="0000F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semiHidden/>
    <w:rsid w:val="00ED7E8B"/>
    <w:rPr>
      <w:rFonts w:ascii="Times New Roman" w:hAnsi="Times New Roman" w:cs="Times New Roman"/>
      <w:color w:val="0000FF"/>
      <w:sz w:val="24"/>
      <w:szCs w:val="24"/>
      <w:lang w:eastAsia="fr-FR"/>
    </w:rPr>
  </w:style>
  <w:style w:type="paragraph" w:styleId="Corpsdetexte">
    <w:name w:val="Body Text"/>
    <w:basedOn w:val="Normal"/>
    <w:link w:val="CorpsdetexteCar"/>
    <w:uiPriority w:val="99"/>
    <w:semiHidden/>
    <w:unhideWhenUsed/>
    <w:rsid w:val="00ED7E8B"/>
    <w:pPr>
      <w:snapToGrid w:val="0"/>
    </w:pPr>
    <w:rPr>
      <w:rFonts w:ascii="Arial" w:hAnsi="Arial" w:cs="Arial"/>
      <w:sz w:val="24"/>
      <w:szCs w:val="24"/>
      <w:lang w:eastAsia="fr-FR"/>
    </w:rPr>
  </w:style>
  <w:style w:type="character" w:customStyle="1" w:styleId="CorpsdetexteCar">
    <w:name w:val="Corps de texte Car"/>
    <w:basedOn w:val="Policepardfaut"/>
    <w:link w:val="Corpsdetexte"/>
    <w:uiPriority w:val="99"/>
    <w:semiHidden/>
    <w:rsid w:val="00ED7E8B"/>
    <w:rPr>
      <w:rFonts w:ascii="Arial" w:hAnsi="Arial" w:cs="Arial"/>
      <w:sz w:val="24"/>
      <w:szCs w:val="24"/>
      <w:lang w:eastAsia="fr-FR"/>
    </w:rPr>
  </w:style>
  <w:style w:type="paragraph" w:styleId="Titre">
    <w:name w:val="Title"/>
    <w:basedOn w:val="Normal"/>
    <w:link w:val="TitreCar"/>
    <w:qFormat/>
    <w:rsid w:val="00ED7E8B"/>
    <w:pPr>
      <w:jc w:val="center"/>
    </w:pPr>
    <w:rPr>
      <w:rFonts w:ascii="Times New Roman" w:eastAsia="Times New Roman" w:hAnsi="Times New Roman" w:cs="Times New Roman"/>
      <w:b/>
      <w:sz w:val="24"/>
      <w:szCs w:val="20"/>
      <w:lang w:eastAsia="fr-FR"/>
    </w:rPr>
  </w:style>
  <w:style w:type="character" w:customStyle="1" w:styleId="TitreCar">
    <w:name w:val="Titre Car"/>
    <w:basedOn w:val="Policepardfaut"/>
    <w:link w:val="Titre"/>
    <w:rsid w:val="00ED7E8B"/>
    <w:rPr>
      <w:rFonts w:ascii="Times New Roman" w:eastAsia="Times New Roman" w:hAnsi="Times New Roman" w:cs="Times New Roman"/>
      <w:b/>
      <w:sz w:val="24"/>
      <w:szCs w:val="20"/>
      <w:lang w:eastAsia="fr-FR"/>
    </w:rPr>
  </w:style>
  <w:style w:type="paragraph" w:styleId="En-tte">
    <w:name w:val="header"/>
    <w:basedOn w:val="Normal"/>
    <w:link w:val="En-tteCar"/>
    <w:uiPriority w:val="99"/>
    <w:unhideWhenUsed/>
    <w:rsid w:val="00ED7E8B"/>
    <w:pPr>
      <w:tabs>
        <w:tab w:val="center" w:pos="4536"/>
        <w:tab w:val="right" w:pos="9072"/>
      </w:tabs>
    </w:pPr>
  </w:style>
  <w:style w:type="character" w:customStyle="1" w:styleId="En-tteCar">
    <w:name w:val="En-tête Car"/>
    <w:basedOn w:val="Policepardfaut"/>
    <w:link w:val="En-tte"/>
    <w:uiPriority w:val="99"/>
    <w:rsid w:val="00ED7E8B"/>
    <w:rPr>
      <w:rFonts w:ascii="Calibri" w:hAnsi="Calibri" w:cs="Calibri"/>
    </w:rPr>
  </w:style>
  <w:style w:type="paragraph" w:styleId="Pieddepage">
    <w:name w:val="footer"/>
    <w:basedOn w:val="Normal"/>
    <w:link w:val="PieddepageCar"/>
    <w:uiPriority w:val="99"/>
    <w:unhideWhenUsed/>
    <w:rsid w:val="00ED7E8B"/>
    <w:pPr>
      <w:tabs>
        <w:tab w:val="center" w:pos="4536"/>
        <w:tab w:val="right" w:pos="9072"/>
      </w:tabs>
    </w:pPr>
  </w:style>
  <w:style w:type="character" w:customStyle="1" w:styleId="PieddepageCar">
    <w:name w:val="Pied de page Car"/>
    <w:basedOn w:val="Policepardfaut"/>
    <w:link w:val="Pieddepage"/>
    <w:uiPriority w:val="99"/>
    <w:rsid w:val="00ED7E8B"/>
    <w:rPr>
      <w:rFonts w:ascii="Calibri" w:hAnsi="Calibri" w:cs="Calibri"/>
    </w:rPr>
  </w:style>
  <w:style w:type="paragraph" w:styleId="Paragraphedeliste">
    <w:name w:val="List Paragraph"/>
    <w:basedOn w:val="Normal"/>
    <w:uiPriority w:val="34"/>
    <w:qFormat/>
    <w:rsid w:val="000915A5"/>
    <w:pPr>
      <w:ind w:left="720"/>
      <w:contextualSpacing/>
    </w:pPr>
  </w:style>
  <w:style w:type="paragraph" w:styleId="Textedebulles">
    <w:name w:val="Balloon Text"/>
    <w:basedOn w:val="Normal"/>
    <w:link w:val="TextedebullesCar"/>
    <w:uiPriority w:val="99"/>
    <w:semiHidden/>
    <w:unhideWhenUsed/>
    <w:rsid w:val="00401C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1CAA"/>
    <w:rPr>
      <w:rFonts w:ascii="Segoe UI" w:hAnsi="Segoe UI" w:cs="Segoe UI"/>
      <w:sz w:val="18"/>
      <w:szCs w:val="18"/>
    </w:rPr>
  </w:style>
  <w:style w:type="character" w:styleId="Marquedecommentaire">
    <w:name w:val="annotation reference"/>
    <w:basedOn w:val="Policepardfaut"/>
    <w:uiPriority w:val="99"/>
    <w:semiHidden/>
    <w:unhideWhenUsed/>
    <w:rsid w:val="00181B71"/>
    <w:rPr>
      <w:sz w:val="16"/>
      <w:szCs w:val="16"/>
    </w:rPr>
  </w:style>
  <w:style w:type="paragraph" w:styleId="Commentaire">
    <w:name w:val="annotation text"/>
    <w:basedOn w:val="Normal"/>
    <w:link w:val="CommentaireCar"/>
    <w:uiPriority w:val="99"/>
    <w:semiHidden/>
    <w:unhideWhenUsed/>
    <w:rsid w:val="00181B71"/>
    <w:rPr>
      <w:sz w:val="20"/>
      <w:szCs w:val="20"/>
    </w:rPr>
  </w:style>
  <w:style w:type="character" w:customStyle="1" w:styleId="CommentaireCar">
    <w:name w:val="Commentaire Car"/>
    <w:basedOn w:val="Policepardfaut"/>
    <w:link w:val="Commentaire"/>
    <w:uiPriority w:val="99"/>
    <w:semiHidden/>
    <w:rsid w:val="00181B71"/>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181B71"/>
    <w:rPr>
      <w:b/>
      <w:bCs/>
    </w:rPr>
  </w:style>
  <w:style w:type="character" w:customStyle="1" w:styleId="ObjetducommentaireCar">
    <w:name w:val="Objet du commentaire Car"/>
    <w:basedOn w:val="CommentaireCar"/>
    <w:link w:val="Objetducommentaire"/>
    <w:uiPriority w:val="99"/>
    <w:semiHidden/>
    <w:rsid w:val="00181B71"/>
    <w:rPr>
      <w:rFonts w:ascii="Calibri" w:hAnsi="Calibri" w:cs="Calibri"/>
      <w:b/>
      <w:bCs/>
      <w:sz w:val="20"/>
      <w:szCs w:val="20"/>
    </w:rPr>
  </w:style>
  <w:style w:type="paragraph" w:styleId="Rvision">
    <w:name w:val="Revision"/>
    <w:hidden/>
    <w:uiPriority w:val="99"/>
    <w:semiHidden/>
    <w:rsid w:val="003B7E86"/>
    <w:pPr>
      <w:spacing w:after="0" w:line="240" w:lineRule="auto"/>
    </w:pPr>
    <w:rPr>
      <w:rFonts w:ascii="Calibri" w:hAnsi="Calibri" w:cs="Calibri"/>
    </w:rPr>
  </w:style>
  <w:style w:type="paragraph" w:styleId="Sansinterligne">
    <w:name w:val="No Spacing"/>
    <w:uiPriority w:val="1"/>
    <w:qFormat/>
    <w:rsid w:val="00E44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83144">
      <w:bodyDiv w:val="1"/>
      <w:marLeft w:val="0"/>
      <w:marRight w:val="0"/>
      <w:marTop w:val="0"/>
      <w:marBottom w:val="0"/>
      <w:divBdr>
        <w:top w:val="none" w:sz="0" w:space="0" w:color="auto"/>
        <w:left w:val="none" w:sz="0" w:space="0" w:color="auto"/>
        <w:bottom w:val="none" w:sz="0" w:space="0" w:color="auto"/>
        <w:right w:val="none" w:sz="0" w:space="0" w:color="auto"/>
      </w:divBdr>
    </w:div>
    <w:div w:id="1626154961">
      <w:bodyDiv w:val="1"/>
      <w:marLeft w:val="0"/>
      <w:marRight w:val="0"/>
      <w:marTop w:val="0"/>
      <w:marBottom w:val="0"/>
      <w:divBdr>
        <w:top w:val="none" w:sz="0" w:space="0" w:color="auto"/>
        <w:left w:val="none" w:sz="0" w:space="0" w:color="auto"/>
        <w:bottom w:val="none" w:sz="0" w:space="0" w:color="auto"/>
        <w:right w:val="none" w:sz="0" w:space="0" w:color="auto"/>
      </w:divBdr>
    </w:div>
    <w:div w:id="1939289023">
      <w:bodyDiv w:val="1"/>
      <w:marLeft w:val="0"/>
      <w:marRight w:val="0"/>
      <w:marTop w:val="0"/>
      <w:marBottom w:val="0"/>
      <w:divBdr>
        <w:top w:val="none" w:sz="0" w:space="0" w:color="auto"/>
        <w:left w:val="none" w:sz="0" w:space="0" w:color="auto"/>
        <w:bottom w:val="none" w:sz="0" w:space="0" w:color="auto"/>
        <w:right w:val="none" w:sz="0" w:space="0" w:color="auto"/>
      </w:divBdr>
    </w:div>
    <w:div w:id="21429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DF00A-4205-45F7-A0BE-8DCA53CA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2693</Words>
  <Characters>14817</Characters>
  <Application>Microsoft Office Word</Application>
  <DocSecurity>4</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Petetin, Catherine</dc:creator>
  <cp:keywords/>
  <dc:description/>
  <cp:lastModifiedBy>Duplouy, Michel</cp:lastModifiedBy>
  <cp:revision>2</cp:revision>
  <cp:lastPrinted>2019-10-01T10:27:00Z</cp:lastPrinted>
  <dcterms:created xsi:type="dcterms:W3CDTF">2019-10-21T07:20:00Z</dcterms:created>
  <dcterms:modified xsi:type="dcterms:W3CDTF">2019-10-21T07:20:00Z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6b0da4-3db3-477f-aae7-ffa237cfc891_Enabled">
    <vt:lpwstr>True</vt:lpwstr>
  </property>
  <property fmtid="{D5CDD505-2E9C-101B-9397-08002B2CF9AE}" pid="3" name="MSIP_Label_526b0da4-3db3-477f-aae7-ffa237cfc891_SiteId">
    <vt:lpwstr>6eab6365-8194-49c6-a4d0-e2d1a0fbeb74</vt:lpwstr>
  </property>
  <property fmtid="{D5CDD505-2E9C-101B-9397-08002B2CF9AE}" pid="4" name="MSIP_Label_526b0da4-3db3-477f-aae7-ffa237cfc891_Owner">
    <vt:lpwstr>Catherine.Petetin@caissedesdepots.fr</vt:lpwstr>
  </property>
  <property fmtid="{D5CDD505-2E9C-101B-9397-08002B2CF9AE}" pid="5" name="MSIP_Label_526b0da4-3db3-477f-aae7-ffa237cfc891_SetDate">
    <vt:lpwstr>2019-06-07T11:53:55.8168189Z</vt:lpwstr>
  </property>
  <property fmtid="{D5CDD505-2E9C-101B-9397-08002B2CF9AE}" pid="6" name="MSIP_Label_526b0da4-3db3-477f-aae7-ffa237cfc891_Name">
    <vt:lpwstr>CDC-Interne</vt:lpwstr>
  </property>
  <property fmtid="{D5CDD505-2E9C-101B-9397-08002B2CF9AE}" pid="7" name="MSIP_Label_526b0da4-3db3-477f-aae7-ffa237cfc891_Application">
    <vt:lpwstr>Microsoft Azure Information Protection</vt:lpwstr>
  </property>
  <property fmtid="{D5CDD505-2E9C-101B-9397-08002B2CF9AE}" pid="8" name="MSIP_Label_526b0da4-3db3-477f-aae7-ffa237cfc891_Extended_MSFT_Method">
    <vt:lpwstr>Automatic</vt:lpwstr>
  </property>
  <property fmtid="{D5CDD505-2E9C-101B-9397-08002B2CF9AE}" pid="9" name="MSIP_Label_1387ec98-8aff-418c-9455-dc857e1ea7dc_Enabled">
    <vt:lpwstr>True</vt:lpwstr>
  </property>
  <property fmtid="{D5CDD505-2E9C-101B-9397-08002B2CF9AE}" pid="10" name="MSIP_Label_1387ec98-8aff-418c-9455-dc857e1ea7dc_SiteId">
    <vt:lpwstr>6eab6365-8194-49c6-a4d0-e2d1a0fbeb74</vt:lpwstr>
  </property>
  <property fmtid="{D5CDD505-2E9C-101B-9397-08002B2CF9AE}" pid="11" name="MSIP_Label_1387ec98-8aff-418c-9455-dc857e1ea7dc_Owner">
    <vt:lpwstr>Catherine.Petetin@caissedesdepots.fr</vt:lpwstr>
  </property>
  <property fmtid="{D5CDD505-2E9C-101B-9397-08002B2CF9AE}" pid="12" name="MSIP_Label_1387ec98-8aff-418c-9455-dc857e1ea7dc_SetDate">
    <vt:lpwstr>2019-06-07T11:53:55.8168189Z</vt:lpwstr>
  </property>
  <property fmtid="{D5CDD505-2E9C-101B-9397-08002B2CF9AE}" pid="13" name="MSIP_Label_1387ec98-8aff-418c-9455-dc857e1ea7dc_Name">
    <vt:lpwstr>Avec marquage</vt:lpwstr>
  </property>
  <property fmtid="{D5CDD505-2E9C-101B-9397-08002B2CF9AE}" pid="14" name="MSIP_Label_1387ec98-8aff-418c-9455-dc857e1ea7dc_Application">
    <vt:lpwstr>Microsoft Azure Information Protection</vt:lpwstr>
  </property>
  <property fmtid="{D5CDD505-2E9C-101B-9397-08002B2CF9AE}" pid="15" name="MSIP_Label_1387ec98-8aff-418c-9455-dc857e1ea7dc_Parent">
    <vt:lpwstr>526b0da4-3db3-477f-aae7-ffa237cfc891</vt:lpwstr>
  </property>
  <property fmtid="{D5CDD505-2E9C-101B-9397-08002B2CF9AE}" pid="16" name="MSIP_Label_1387ec98-8aff-418c-9455-dc857e1ea7dc_Extended_MSFT_Method">
    <vt:lpwstr>Automatic</vt:lpwstr>
  </property>
  <property fmtid="{D5CDD505-2E9C-101B-9397-08002B2CF9AE}" pid="17" name="Sensitivity">
    <vt:lpwstr>CDC-Interne Avec marquage</vt:lpwstr>
  </property>
</Properties>
</file>